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65" w:rsidRDefault="00DF4B1B">
      <w:pPr>
        <w:wordWrap w:val="0"/>
        <w:jc w:val="right"/>
        <w:rPr>
          <w:rFonts w:ascii="楷体_GB2312" w:eastAsia="楷体_GB2312"/>
          <w:b/>
          <w:sz w:val="30"/>
        </w:rPr>
      </w:pPr>
      <w:r>
        <w:rPr>
          <w:rFonts w:ascii="楷体_GB2312" w:eastAsia="楷体_GB2312" w:hint="eastAsia"/>
          <w:b/>
          <w:sz w:val="30"/>
        </w:rPr>
        <w:t xml:space="preserve">统一社会信用代码 </w:t>
      </w:r>
    </w:p>
    <w:p w:rsidR="007B4265" w:rsidRDefault="00DF4B1B">
      <w:pPr>
        <w:wordWrap w:val="0"/>
        <w:jc w:val="right"/>
        <w:rPr>
          <w:rFonts w:ascii="楷体_GB2312" w:eastAsia="楷体_GB2312"/>
          <w:b/>
          <w:sz w:val="30"/>
        </w:rPr>
      </w:pPr>
      <w:r>
        <w:rPr>
          <w:rStyle w:val="font21"/>
          <w:b/>
          <w:bCs/>
          <w:szCs w:val="30"/>
        </w:rPr>
        <w:t>12330100790946879J</w:t>
      </w:r>
    </w:p>
    <w:p w:rsidR="007B4265" w:rsidRDefault="007B4265">
      <w:pPr>
        <w:adjustRightInd w:val="0"/>
        <w:snapToGrid w:val="0"/>
        <w:jc w:val="right"/>
      </w:pPr>
    </w:p>
    <w:p w:rsidR="007B4265" w:rsidRDefault="007B4265" w:rsidP="0015436B">
      <w:pPr>
        <w:adjustRightInd w:val="0"/>
        <w:snapToGrid w:val="0"/>
        <w:ind w:rightChars="-27" w:right="-57"/>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DF4B1B">
      <w:pPr>
        <w:adjustRightInd w:val="0"/>
        <w:snapToGrid w:val="0"/>
        <w:jc w:val="center"/>
        <w:rPr>
          <w:rFonts w:eastAsia="黑体"/>
          <w:b/>
          <w:bCs/>
          <w:spacing w:val="40"/>
          <w:sz w:val="52"/>
        </w:rPr>
      </w:pPr>
      <w:r>
        <w:rPr>
          <w:rFonts w:eastAsia="黑体" w:hint="eastAsia"/>
          <w:b/>
          <w:bCs/>
          <w:spacing w:val="40"/>
          <w:sz w:val="52"/>
        </w:rPr>
        <w:t>事业单位法人年度报告书</w:t>
      </w:r>
    </w:p>
    <w:p w:rsidR="007B4265" w:rsidRDefault="007B4265">
      <w:pPr>
        <w:adjustRightInd w:val="0"/>
        <w:snapToGrid w:val="0"/>
        <w:jc w:val="center"/>
        <w:rPr>
          <w:rFonts w:eastAsia="黑体"/>
          <w:b/>
          <w:bCs/>
          <w:spacing w:val="30"/>
        </w:rPr>
      </w:pPr>
    </w:p>
    <w:p w:rsidR="007B4265" w:rsidRDefault="007B4265">
      <w:pPr>
        <w:adjustRightInd w:val="0"/>
        <w:snapToGrid w:val="0"/>
        <w:jc w:val="center"/>
        <w:rPr>
          <w:rFonts w:eastAsia="黑体"/>
          <w:b/>
          <w:bCs/>
          <w:spacing w:val="30"/>
        </w:rPr>
      </w:pPr>
    </w:p>
    <w:p w:rsidR="007B4265" w:rsidRDefault="00DF4B1B">
      <w:pPr>
        <w:adjustRightInd w:val="0"/>
        <w:snapToGrid w:val="0"/>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2017</w:t>
      </w:r>
      <w:r>
        <w:rPr>
          <w:rStyle w:val="font21"/>
          <w:rFonts w:hint="eastAsia"/>
          <w:b/>
          <w:bCs/>
          <w:szCs w:val="30"/>
        </w:rPr>
        <w:t xml:space="preserve">  </w:t>
      </w:r>
      <w:r>
        <w:rPr>
          <w:rFonts w:eastAsia="楷体_GB2312" w:hint="eastAsia"/>
          <w:b/>
          <w:bCs/>
          <w:spacing w:val="30"/>
          <w:sz w:val="36"/>
        </w:rPr>
        <w:t>）</w:t>
      </w:r>
      <w:r>
        <w:rPr>
          <w:rFonts w:ascii="楷体_GB2312" w:eastAsia="楷体_GB2312" w:hAnsi="楷体" w:hint="eastAsia"/>
          <w:b/>
          <w:bCs/>
          <w:spacing w:val="30"/>
          <w:sz w:val="36"/>
        </w:rPr>
        <w:t>年度</w:t>
      </w: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tbl>
      <w:tblPr>
        <w:tblW w:w="0" w:type="auto"/>
        <w:tblLook w:val="01E0"/>
      </w:tblPr>
      <w:tblGrid>
        <w:gridCol w:w="2808"/>
        <w:gridCol w:w="6120"/>
      </w:tblGrid>
      <w:tr w:rsidR="007B4265">
        <w:trPr>
          <w:trHeight w:val="722"/>
        </w:trPr>
        <w:tc>
          <w:tcPr>
            <w:tcW w:w="2808" w:type="dxa"/>
            <w:vAlign w:val="center"/>
          </w:tcPr>
          <w:p w:rsidR="007B4265" w:rsidRDefault="00DF4B1B">
            <w:pPr>
              <w:adjustRightInd w:val="0"/>
              <w:snapToGrid w:val="0"/>
              <w:jc w:val="right"/>
              <w:rPr>
                <w:sz w:val="36"/>
              </w:rPr>
            </w:pPr>
            <w:r>
              <w:rPr>
                <w:rFonts w:ascii="黑体" w:eastAsia="黑体" w:hint="eastAsia"/>
                <w:b/>
                <w:bCs/>
                <w:sz w:val="36"/>
              </w:rPr>
              <w:t>单 位 名 称</w:t>
            </w:r>
          </w:p>
        </w:tc>
        <w:tc>
          <w:tcPr>
            <w:tcW w:w="6120" w:type="dxa"/>
            <w:tcBorders>
              <w:bottom w:val="single" w:sz="12" w:space="0" w:color="auto"/>
            </w:tcBorders>
            <w:vAlign w:val="center"/>
          </w:tcPr>
          <w:p w:rsidR="007B4265" w:rsidRDefault="00DF4B1B">
            <w:pPr>
              <w:adjustRightInd w:val="0"/>
              <w:snapToGrid w:val="0"/>
              <w:rPr>
                <w:sz w:val="36"/>
              </w:rPr>
            </w:pPr>
            <w:r>
              <w:rPr>
                <w:rFonts w:ascii="黑体" w:eastAsia="黑体" w:hint="eastAsia"/>
                <w:bCs/>
                <w:sz w:val="36"/>
              </w:rPr>
              <w:t>中国棋院杭州分院（杭州棋院、杭州市棋类运动管理中心）</w:t>
            </w:r>
          </w:p>
        </w:tc>
      </w:tr>
      <w:tr w:rsidR="007B4265">
        <w:tc>
          <w:tcPr>
            <w:tcW w:w="2808" w:type="dxa"/>
            <w:vAlign w:val="center"/>
          </w:tcPr>
          <w:p w:rsidR="007B4265" w:rsidRDefault="007B4265">
            <w:pPr>
              <w:adjustRightInd w:val="0"/>
              <w:snapToGrid w:val="0"/>
              <w:jc w:val="right"/>
              <w:rPr>
                <w:sz w:val="36"/>
              </w:rPr>
            </w:pPr>
          </w:p>
        </w:tc>
        <w:tc>
          <w:tcPr>
            <w:tcW w:w="6120" w:type="dxa"/>
            <w:tcBorders>
              <w:top w:val="single" w:sz="12" w:space="0" w:color="auto"/>
            </w:tcBorders>
            <w:vAlign w:val="center"/>
          </w:tcPr>
          <w:p w:rsidR="007B4265" w:rsidRDefault="007B4265">
            <w:pPr>
              <w:adjustRightInd w:val="0"/>
              <w:snapToGrid w:val="0"/>
              <w:rPr>
                <w:sz w:val="36"/>
              </w:rPr>
            </w:pPr>
          </w:p>
        </w:tc>
      </w:tr>
      <w:tr w:rsidR="007B4265">
        <w:trPr>
          <w:trHeight w:val="624"/>
        </w:trPr>
        <w:tc>
          <w:tcPr>
            <w:tcW w:w="2808" w:type="dxa"/>
            <w:vAlign w:val="center"/>
          </w:tcPr>
          <w:p w:rsidR="007B4265" w:rsidRDefault="00DF4B1B">
            <w:pPr>
              <w:adjustRightInd w:val="0"/>
              <w:snapToGrid w:val="0"/>
              <w:jc w:val="right"/>
              <w:rPr>
                <w:sz w:val="36"/>
              </w:rPr>
            </w:pPr>
            <w:r>
              <w:rPr>
                <w:rFonts w:ascii="黑体" w:eastAsia="黑体" w:hint="eastAsia"/>
                <w:b/>
                <w:bCs/>
                <w:sz w:val="36"/>
              </w:rPr>
              <w:t>法</w:t>
            </w:r>
            <w:r>
              <w:rPr>
                <w:rFonts w:ascii="黑体" w:eastAsia="黑体" w:hint="eastAsia"/>
                <w:b/>
                <w:bCs/>
                <w:spacing w:val="30"/>
                <w:sz w:val="36"/>
              </w:rPr>
              <w:t>定代表</w:t>
            </w:r>
            <w:r>
              <w:rPr>
                <w:rFonts w:ascii="黑体" w:eastAsia="黑体" w:hint="eastAsia"/>
                <w:b/>
                <w:bCs/>
                <w:sz w:val="36"/>
              </w:rPr>
              <w:t>人</w:t>
            </w:r>
          </w:p>
        </w:tc>
        <w:tc>
          <w:tcPr>
            <w:tcW w:w="6120" w:type="dxa"/>
            <w:tcBorders>
              <w:bottom w:val="single" w:sz="12" w:space="0" w:color="auto"/>
            </w:tcBorders>
            <w:vAlign w:val="center"/>
          </w:tcPr>
          <w:p w:rsidR="007B4265" w:rsidRDefault="007B4265">
            <w:pPr>
              <w:adjustRightInd w:val="0"/>
              <w:snapToGrid w:val="0"/>
              <w:rPr>
                <w:sz w:val="36"/>
              </w:rPr>
            </w:pPr>
            <w:bookmarkStart w:id="0" w:name="_GoBack"/>
            <w:bookmarkEnd w:id="0"/>
          </w:p>
        </w:tc>
      </w:tr>
    </w:tbl>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u w:val="single"/>
        </w:rPr>
      </w:pPr>
    </w:p>
    <w:p w:rsidR="007B4265" w:rsidRDefault="007B4265">
      <w:pPr>
        <w:adjustRightInd w:val="0"/>
        <w:snapToGrid w:val="0"/>
        <w:jc w:val="center"/>
        <w:rPr>
          <w:rFonts w:hint="eastAsia"/>
          <w:u w:val="single"/>
        </w:rPr>
      </w:pPr>
    </w:p>
    <w:p w:rsidR="007B4265" w:rsidRDefault="00DF4B1B">
      <w:pPr>
        <w:adjustRightInd w:val="0"/>
        <w:snapToGrid w:val="0"/>
        <w:jc w:val="center"/>
        <w:rPr>
          <w:rFonts w:ascii="宋体" w:hAnsi="Calibri" w:cs="宋体"/>
          <w:kern w:val="0"/>
          <w:sz w:val="22"/>
          <w:szCs w:val="22"/>
        </w:rPr>
      </w:pPr>
      <w:r>
        <w:rPr>
          <w:rFonts w:ascii="楷体_GB2312" w:eastAsia="楷体_GB2312" w:hAnsi="楷体" w:hint="eastAsia"/>
          <w:b/>
          <w:bCs/>
          <w:sz w:val="32"/>
          <w:szCs w:val="32"/>
        </w:rPr>
        <w:t>国家事业单位登记管理局制</w:t>
      </w:r>
    </w:p>
    <w:p w:rsidR="007B4265" w:rsidRDefault="00DF4B1B">
      <w:pPr>
        <w:adjustRightInd w:val="0"/>
        <w:snapToGrid w:val="0"/>
        <w:jc w:val="center"/>
        <w:rPr>
          <w:rFonts w:ascii="宋体" w:hAnsi="宋体" w:cs="宋体"/>
          <w:b/>
          <w:kern w:val="0"/>
          <w:sz w:val="18"/>
          <w:szCs w:val="18"/>
        </w:rPr>
      </w:pPr>
      <w:r>
        <w:rPr>
          <w:rFonts w:ascii="宋体" w:hAnsi="宋体" w:cs="宋体" w:hint="eastAsia"/>
          <w:b/>
          <w:kern w:val="0"/>
          <w:sz w:val="18"/>
          <w:szCs w:val="18"/>
          <w:lang w:val="zh-CN"/>
        </w:rPr>
        <w:t>编号</w:t>
      </w:r>
      <w:r>
        <w:rPr>
          <w:rFonts w:ascii="宋体" w:hAnsi="宋体" w:cs="宋体" w:hint="eastAsia"/>
          <w:b/>
          <w:kern w:val="0"/>
          <w:sz w:val="18"/>
          <w:szCs w:val="18"/>
        </w:rPr>
        <w:t>：</w:t>
      </w:r>
      <w:r>
        <w:rPr>
          <w:rFonts w:ascii="宋体" w:hAnsi="宋体" w:cs="宋体"/>
          <w:b/>
          <w:kern w:val="0"/>
          <w:sz w:val="18"/>
          <w:szCs w:val="18"/>
        </w:rPr>
        <w:t>133010000734</w:t>
      </w:r>
    </w:p>
    <w:p w:rsidR="007B4265" w:rsidRDefault="007B4265">
      <w:pPr>
        <w:adjustRightInd w:val="0"/>
        <w:snapToGrid w:val="0"/>
        <w:jc w:val="center"/>
        <w:rPr>
          <w:rFonts w:ascii="宋体" w:hAnsi="宋体" w:cs="宋体"/>
          <w:b/>
          <w:kern w:val="0"/>
          <w:sz w:val="18"/>
          <w:szCs w:val="18"/>
        </w:rPr>
        <w:sectPr w:rsidR="007B4265">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260" w:header="851" w:footer="992" w:gutter="0"/>
          <w:cols w:space="425"/>
          <w:docGrid w:type="lines" w:linePitch="312"/>
        </w:sect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rPr>
          <w:rFonts w:ascii="宋体" w:hAnsi="宋体" w:cs="宋体"/>
          <w:b/>
          <w:kern w:val="0"/>
          <w:sz w:val="18"/>
          <w:szCs w:val="1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095"/>
        <w:gridCol w:w="1826"/>
        <w:gridCol w:w="2181"/>
        <w:gridCol w:w="2210"/>
      </w:tblGrid>
      <w:tr w:rsidR="007B4265" w:rsidTr="006D259D">
        <w:trPr>
          <w:trHeight w:val="737"/>
        </w:trPr>
        <w:tc>
          <w:tcPr>
            <w:tcW w:w="1701" w:type="dxa"/>
            <w:vMerge w:val="restart"/>
            <w:tcBorders>
              <w:top w:val="single" w:sz="12" w:space="0" w:color="auto"/>
              <w:left w:val="single" w:sz="12" w:space="0" w:color="auto"/>
              <w:bottom w:val="single" w:sz="8" w:space="0" w:color="auto"/>
              <w:right w:val="single" w:sz="4" w:space="0" w:color="auto"/>
            </w:tcBorders>
            <w:vAlign w:val="center"/>
          </w:tcPr>
          <w:p w:rsidR="007B4265" w:rsidRDefault="00DF4B1B">
            <w:pPr>
              <w:jc w:val="center"/>
              <w:rPr>
                <w:rFonts w:ascii="楷体_GB2312" w:eastAsia="楷体_GB2312" w:hAnsi="楷体"/>
                <w:b/>
                <w:bCs/>
                <w:sz w:val="32"/>
                <w:szCs w:val="32"/>
              </w:rPr>
            </w:pPr>
            <w:proofErr w:type="gramStart"/>
            <w:r>
              <w:rPr>
                <w:rFonts w:ascii="楷体_GB2312" w:eastAsia="楷体_GB2312" w:hAnsi="楷体" w:hint="eastAsia"/>
                <w:b/>
                <w:bCs/>
                <w:sz w:val="32"/>
                <w:szCs w:val="32"/>
              </w:rPr>
              <w:t>《</w:t>
            </w:r>
            <w:proofErr w:type="gramEnd"/>
            <w:r>
              <w:rPr>
                <w:rFonts w:ascii="楷体_GB2312" w:eastAsia="楷体_GB2312" w:hAnsi="楷体" w:hint="eastAsia"/>
                <w:b/>
                <w:bCs/>
                <w:sz w:val="32"/>
                <w:szCs w:val="32"/>
              </w:rPr>
              <w:t>事业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单 位</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法 人</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 证书》</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登 载</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事 项</w:t>
            </w:r>
          </w:p>
        </w:tc>
        <w:tc>
          <w:tcPr>
            <w:tcW w:w="2095" w:type="dxa"/>
            <w:tcBorders>
              <w:top w:val="single" w:sz="12"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单位名称</w:t>
            </w:r>
          </w:p>
        </w:tc>
        <w:tc>
          <w:tcPr>
            <w:tcW w:w="6217" w:type="dxa"/>
            <w:gridSpan w:val="3"/>
            <w:tcBorders>
              <w:top w:val="single" w:sz="12"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hint="eastAsia"/>
                <w:szCs w:val="28"/>
              </w:rPr>
              <w:t>中国棋院杭州分院（杭州棋院、杭州市棋类运动管理中心）</w:t>
            </w:r>
          </w:p>
        </w:tc>
      </w:tr>
      <w:tr w:rsidR="007B4265" w:rsidTr="006D259D">
        <w:trPr>
          <w:trHeight w:val="3318"/>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宗 旨 </w:t>
            </w:r>
            <w:proofErr w:type="gramStart"/>
            <w:r>
              <w:rPr>
                <w:rFonts w:ascii="楷体_GB2312" w:eastAsia="楷体_GB2312" w:hAnsi="楷体" w:hint="eastAsia"/>
                <w:b/>
                <w:bCs/>
                <w:sz w:val="32"/>
                <w:szCs w:val="32"/>
              </w:rPr>
              <w:t>和</w:t>
            </w:r>
            <w:proofErr w:type="gramEnd"/>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业务范围</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left"/>
              <w:rPr>
                <w:rStyle w:val="font71"/>
                <w:rFonts w:ascii="楷体_GB2312"/>
                <w:szCs w:val="28"/>
              </w:rPr>
            </w:pPr>
            <w:r>
              <w:rPr>
                <w:rStyle w:val="font71"/>
                <w:rFonts w:ascii="楷体_GB2312" w:hint="eastAsia"/>
                <w:szCs w:val="28"/>
              </w:rPr>
              <w:t>具体负责我市棋类项目的业务管理、参与编制棋类项目的发展规划和计划 组织开展棋类项目的宣传普及、队伍建设、运动赛事、对外交流、学术研究等活动 受委托依法管理所属国有资产，确保国有资产的保值增值  承办上级交办的其他工作</w:t>
            </w:r>
          </w:p>
          <w:p w:rsidR="007B4265" w:rsidRDefault="007B4265">
            <w:pPr>
              <w:jc w:val="center"/>
              <w:rPr>
                <w:rFonts w:ascii="楷体_GB2312" w:eastAsia="楷体_GB2312" w:hAnsi="楷体"/>
                <w:b/>
                <w:bCs/>
                <w:sz w:val="32"/>
                <w:szCs w:val="32"/>
              </w:rPr>
            </w:pPr>
          </w:p>
          <w:p w:rsidR="007B4265" w:rsidRDefault="007B4265">
            <w:pPr>
              <w:jc w:val="center"/>
              <w:rPr>
                <w:rFonts w:ascii="楷体_GB2312" w:eastAsia="楷体_GB2312" w:hAnsi="楷体"/>
                <w:b/>
                <w:bCs/>
                <w:sz w:val="32"/>
                <w:szCs w:val="32"/>
              </w:rPr>
            </w:pPr>
          </w:p>
          <w:p w:rsidR="007B4265" w:rsidRDefault="007B4265">
            <w:pPr>
              <w:jc w:val="center"/>
              <w:rPr>
                <w:rFonts w:ascii="楷体_GB2312" w:eastAsia="楷体_GB2312" w:hAnsi="楷体"/>
                <w:b/>
                <w:bCs/>
                <w:sz w:val="32"/>
                <w:szCs w:val="32"/>
              </w:rPr>
            </w:pPr>
          </w:p>
          <w:p w:rsidR="007B4265" w:rsidRDefault="007B4265">
            <w:pPr>
              <w:rPr>
                <w:rFonts w:ascii="楷体_GB2312" w:eastAsia="楷体_GB2312" w:hAnsi="楷体"/>
                <w:b/>
                <w:bCs/>
                <w:sz w:val="32"/>
                <w:szCs w:val="32"/>
              </w:rPr>
            </w:pPr>
          </w:p>
        </w:tc>
      </w:tr>
      <w:tr w:rsidR="007B4265" w:rsidTr="006D259D">
        <w:trPr>
          <w:trHeight w:val="645"/>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住    所</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浙江省杭州市江干区</w:t>
            </w:r>
            <w:proofErr w:type="gramStart"/>
            <w:r>
              <w:rPr>
                <w:rStyle w:val="font71"/>
                <w:rFonts w:ascii="楷体_GB2312" w:hint="eastAsia"/>
                <w:szCs w:val="28"/>
              </w:rPr>
              <w:t>钱潮路2号</w:t>
            </w:r>
            <w:proofErr w:type="gramEnd"/>
          </w:p>
        </w:tc>
      </w:tr>
      <w:tr w:rsidR="007B4265" w:rsidTr="006D259D">
        <w:trPr>
          <w:trHeight w:val="737"/>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法定代表人</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杭天鹏</w:t>
            </w:r>
          </w:p>
        </w:tc>
      </w:tr>
      <w:tr w:rsidR="007B4265" w:rsidTr="006D259D">
        <w:trPr>
          <w:trHeight w:val="737"/>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开办资金</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szCs w:val="28"/>
              </w:rPr>
              <w:t>7001.2万元</w:t>
            </w:r>
          </w:p>
        </w:tc>
      </w:tr>
      <w:tr w:rsidR="007B4265" w:rsidTr="006D259D">
        <w:trPr>
          <w:trHeight w:val="737"/>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经费来源</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财政适当补助</w:t>
            </w:r>
          </w:p>
        </w:tc>
      </w:tr>
      <w:tr w:rsidR="007B4265" w:rsidTr="006D259D">
        <w:trPr>
          <w:trHeight w:val="737"/>
        </w:trPr>
        <w:tc>
          <w:tcPr>
            <w:tcW w:w="1701" w:type="dxa"/>
            <w:vMerge/>
            <w:tcBorders>
              <w:top w:val="single" w:sz="12" w:space="0" w:color="auto"/>
              <w:left w:val="single" w:sz="12" w:space="0" w:color="auto"/>
              <w:bottom w:val="single" w:sz="4"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举办单位</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ascii="楷体_GB2312" w:hint="eastAsia"/>
                <w:szCs w:val="28"/>
              </w:rPr>
              <w:t>中共杭州市委宣传部</w:t>
            </w:r>
          </w:p>
        </w:tc>
      </w:tr>
      <w:tr w:rsidR="007B4265" w:rsidTr="006D259D">
        <w:trPr>
          <w:trHeight w:val="856"/>
        </w:trPr>
        <w:tc>
          <w:tcPr>
            <w:tcW w:w="1701" w:type="dxa"/>
            <w:vMerge w:val="restart"/>
            <w:tcBorders>
              <w:top w:val="single" w:sz="4" w:space="0" w:color="auto"/>
              <w:left w:val="single" w:sz="12" w:space="0" w:color="auto"/>
              <w:right w:val="single" w:sz="4" w:space="0" w:color="auto"/>
            </w:tcBorders>
            <w:vAlign w:val="center"/>
          </w:tcPr>
          <w:p w:rsidR="007B4265" w:rsidRDefault="00DF4B1B">
            <w:pPr>
              <w:jc w:val="center"/>
            </w:pPr>
            <w:r>
              <w:rPr>
                <w:rStyle w:val="font61"/>
                <w:b/>
                <w:bCs/>
              </w:rPr>
              <w:t>资产</w:t>
            </w:r>
          </w:p>
          <w:p w:rsidR="007B4265" w:rsidRDefault="00DF4B1B">
            <w:pPr>
              <w:jc w:val="center"/>
            </w:pPr>
            <w:r>
              <w:rPr>
                <w:rStyle w:val="font61"/>
                <w:b/>
                <w:bCs/>
              </w:rPr>
              <w:t>损益</w:t>
            </w:r>
          </w:p>
          <w:p w:rsidR="007B4265" w:rsidRDefault="00DF4B1B">
            <w:pPr>
              <w:jc w:val="center"/>
              <w:rPr>
                <w:rFonts w:ascii="楷体_GB2312" w:eastAsia="楷体_GB2312" w:hAnsi="楷体"/>
                <w:b/>
                <w:bCs/>
                <w:sz w:val="32"/>
                <w:szCs w:val="32"/>
              </w:rPr>
            </w:pPr>
            <w:r>
              <w:rPr>
                <w:rStyle w:val="font61"/>
                <w:b/>
                <w:bCs/>
              </w:rPr>
              <w:lastRenderedPageBreak/>
              <w:t>情况</w:t>
            </w:r>
          </w:p>
        </w:tc>
        <w:tc>
          <w:tcPr>
            <w:tcW w:w="8312" w:type="dxa"/>
            <w:gridSpan w:val="4"/>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lastRenderedPageBreak/>
              <w:t>净资产合计（所有者权益合计）</w:t>
            </w:r>
          </w:p>
        </w:tc>
      </w:tr>
      <w:tr w:rsidR="007B4265" w:rsidTr="006D259D">
        <w:trPr>
          <w:trHeight w:val="826"/>
        </w:trPr>
        <w:tc>
          <w:tcPr>
            <w:tcW w:w="1701" w:type="dxa"/>
            <w:vMerge/>
            <w:tcBorders>
              <w:left w:val="single" w:sz="12"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年初数（万元）</w:t>
            </w:r>
          </w:p>
        </w:tc>
        <w:tc>
          <w:tcPr>
            <w:tcW w:w="4391"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年末数（万元）</w:t>
            </w:r>
          </w:p>
        </w:tc>
      </w:tr>
      <w:tr w:rsidR="007B4265" w:rsidTr="006D259D">
        <w:trPr>
          <w:trHeight w:val="838"/>
        </w:trPr>
        <w:tc>
          <w:tcPr>
            <w:tcW w:w="1701" w:type="dxa"/>
            <w:vMerge/>
            <w:tcBorders>
              <w:left w:val="single" w:sz="12" w:space="0" w:color="auto"/>
              <w:bottom w:val="single" w:sz="4"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rPr>
              <w:t>7164</w:t>
            </w:r>
          </w:p>
        </w:tc>
        <w:tc>
          <w:tcPr>
            <w:tcW w:w="4391"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sz w:val="32"/>
                <w:szCs w:val="32"/>
              </w:rPr>
              <w:t>7591</w:t>
            </w:r>
          </w:p>
        </w:tc>
      </w:tr>
      <w:tr w:rsidR="007B4265" w:rsidTr="006D259D">
        <w:trPr>
          <w:trHeight w:val="847"/>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Style w:val="font61"/>
                <w:b/>
                <w:bCs/>
              </w:rPr>
              <w:lastRenderedPageBreak/>
              <w:t>网上名称</w:t>
            </w: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28"/>
                <w:szCs w:val="28"/>
              </w:rPr>
            </w:pPr>
            <w:r>
              <w:rPr>
                <w:rFonts w:ascii="楷体_GB2312" w:eastAsia="楷体_GB2312" w:hint="eastAsia"/>
                <w:bCs/>
                <w:sz w:val="28"/>
                <w:szCs w:val="28"/>
              </w:rPr>
              <w:t>中国棋院杭州分院.公益</w:t>
            </w:r>
            <w:r>
              <w:rPr>
                <w:rFonts w:ascii="楷体_GB2312" w:eastAsia="楷体_GB2312" w:hAnsi="楷体" w:hint="eastAsia"/>
                <w:bCs/>
                <w:sz w:val="28"/>
                <w:szCs w:val="28"/>
              </w:rPr>
              <w:t xml:space="preserve">  </w:t>
            </w:r>
          </w:p>
        </w:tc>
        <w:tc>
          <w:tcPr>
            <w:tcW w:w="2181"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从业人数</w:t>
            </w:r>
          </w:p>
        </w:tc>
        <w:tc>
          <w:tcPr>
            <w:tcW w:w="2210" w:type="dxa"/>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hint="eastAsia"/>
              </w:rPr>
              <w:t>32</w:t>
            </w:r>
          </w:p>
        </w:tc>
      </w:tr>
      <w:tr w:rsidR="007B4265" w:rsidTr="006D259D">
        <w:trPr>
          <w:trHeight w:val="6369"/>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对</w:t>
            </w:r>
            <w:proofErr w:type="gramStart"/>
            <w:r>
              <w:rPr>
                <w:rFonts w:ascii="楷体_GB2312" w:eastAsia="楷体_GB2312" w:hAnsi="楷体" w:hint="eastAsia"/>
                <w:b/>
                <w:bCs/>
                <w:sz w:val="32"/>
                <w:szCs w:val="32"/>
              </w:rPr>
              <w:t>《</w:t>
            </w:r>
            <w:proofErr w:type="gramEnd"/>
            <w:r>
              <w:rPr>
                <w:rFonts w:ascii="楷体_GB2312" w:eastAsia="楷体_GB2312" w:hAnsi="楷体" w:hint="eastAsia"/>
                <w:b/>
                <w:bCs/>
                <w:sz w:val="32"/>
                <w:szCs w:val="32"/>
              </w:rPr>
              <w:t>条</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例</w:t>
            </w:r>
            <w:proofErr w:type="gramStart"/>
            <w:r>
              <w:rPr>
                <w:rFonts w:ascii="楷体_GB2312" w:eastAsia="楷体_GB2312" w:hAnsi="楷体" w:hint="eastAsia"/>
                <w:b/>
                <w:bCs/>
                <w:sz w:val="32"/>
                <w:szCs w:val="32"/>
              </w:rPr>
              <w:t>》和</w:t>
            </w:r>
            <w:proofErr w:type="gramEnd"/>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实施细</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则有关</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变更登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记规定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的执行</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情  </w:t>
            </w:r>
            <w:proofErr w:type="gramStart"/>
            <w:r>
              <w:rPr>
                <w:rFonts w:ascii="楷体_GB2312" w:eastAsia="楷体_GB2312" w:hAnsi="楷体" w:hint="eastAsia"/>
                <w:b/>
                <w:bCs/>
                <w:sz w:val="32"/>
                <w:szCs w:val="32"/>
              </w:rPr>
              <w:t>况</w:t>
            </w:r>
            <w:proofErr w:type="gramEnd"/>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我单位今年以来登记事项未发生变化。</w:t>
            </w:r>
          </w:p>
        </w:tc>
      </w:tr>
      <w:tr w:rsidR="007B4265" w:rsidTr="006D259D">
        <w:trPr>
          <w:trHeight w:val="13279"/>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lastRenderedPageBreak/>
              <w:t>开</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展</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w:t>
            </w:r>
          </w:p>
          <w:p w:rsidR="007B4265" w:rsidRDefault="00DF4B1B">
            <w:pPr>
              <w:jc w:val="center"/>
              <w:rPr>
                <w:rFonts w:ascii="楷体_GB2312" w:eastAsia="楷体_GB2312" w:hAnsi="楷体"/>
                <w:b/>
                <w:bCs/>
                <w:sz w:val="32"/>
                <w:szCs w:val="32"/>
              </w:rPr>
            </w:pPr>
            <w:proofErr w:type="gramStart"/>
            <w:r>
              <w:rPr>
                <w:rFonts w:ascii="楷体_GB2312" w:eastAsia="楷体_GB2312" w:hAnsi="楷体" w:hint="eastAsia"/>
                <w:b/>
                <w:bCs/>
                <w:sz w:val="32"/>
                <w:szCs w:val="32"/>
              </w:rPr>
              <w:t>务</w:t>
            </w:r>
            <w:proofErr w:type="gramEnd"/>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动</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情</w:t>
            </w:r>
          </w:p>
          <w:p w:rsidR="007B4265" w:rsidRDefault="00DF4B1B">
            <w:pPr>
              <w:jc w:val="center"/>
              <w:rPr>
                <w:rFonts w:ascii="楷体_GB2312" w:eastAsia="楷体_GB2312" w:hAnsi="楷体"/>
                <w:b/>
                <w:bCs/>
                <w:sz w:val="32"/>
                <w:szCs w:val="32"/>
              </w:rPr>
            </w:pPr>
            <w:proofErr w:type="gramStart"/>
            <w:r>
              <w:rPr>
                <w:rFonts w:ascii="楷体_GB2312" w:eastAsia="楷体_GB2312" w:hAnsi="楷体" w:hint="eastAsia"/>
                <w:b/>
                <w:bCs/>
                <w:sz w:val="32"/>
                <w:szCs w:val="32"/>
              </w:rPr>
              <w:t>况</w:t>
            </w:r>
            <w:proofErr w:type="gramEnd"/>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宋体" w:hAnsi="宋体"/>
                <w:b/>
                <w:bCs/>
                <w:szCs w:val="21"/>
              </w:rPr>
            </w:pPr>
            <w:r>
              <w:rPr>
                <w:rStyle w:val="font71"/>
                <w:rFonts w:ascii="宋体" w:eastAsia="宋体" w:hAnsi="宋体" w:hint="eastAsia"/>
                <w:sz w:val="21"/>
                <w:szCs w:val="21"/>
              </w:rPr>
              <w:t>一、主要工作</w:t>
            </w:r>
            <w:r>
              <w:rPr>
                <w:rStyle w:val="font71"/>
                <w:rFonts w:ascii="宋体" w:eastAsia="宋体" w:hAnsi="宋体" w:hint="eastAsia"/>
                <w:sz w:val="21"/>
                <w:szCs w:val="21"/>
              </w:rPr>
              <w:br/>
              <w:t>专业队伍建设和赛事举办举措得力</w:t>
            </w:r>
            <w:r>
              <w:rPr>
                <w:rStyle w:val="font71"/>
                <w:rFonts w:ascii="宋体" w:eastAsia="宋体" w:hAnsi="宋体" w:hint="eastAsia"/>
                <w:sz w:val="21"/>
                <w:szCs w:val="21"/>
              </w:rPr>
              <w:br/>
              <w:t>（一）甲级队奋力拼搏保甲成功</w:t>
            </w:r>
            <w:r>
              <w:rPr>
                <w:rStyle w:val="font71"/>
                <w:rFonts w:ascii="宋体" w:eastAsia="宋体" w:hAnsi="宋体" w:hint="eastAsia"/>
                <w:sz w:val="21"/>
                <w:szCs w:val="21"/>
              </w:rPr>
              <w:br/>
              <w:t>1.苏泊尔杭州逆转，</w:t>
            </w:r>
            <w:proofErr w:type="gramStart"/>
            <w:r>
              <w:rPr>
                <w:rStyle w:val="font71"/>
                <w:rFonts w:ascii="宋体" w:eastAsia="宋体" w:hAnsi="宋体" w:hint="eastAsia"/>
                <w:sz w:val="21"/>
                <w:szCs w:val="21"/>
              </w:rPr>
              <w:t>三支围甲队</w:t>
            </w:r>
            <w:proofErr w:type="gramEnd"/>
            <w:r>
              <w:rPr>
                <w:rStyle w:val="font71"/>
                <w:rFonts w:ascii="宋体" w:eastAsia="宋体" w:hAnsi="宋体" w:hint="eastAsia"/>
                <w:sz w:val="21"/>
                <w:szCs w:val="21"/>
              </w:rPr>
              <w:t>圆满完成年度赛程</w:t>
            </w:r>
            <w:r>
              <w:rPr>
                <w:rStyle w:val="font71"/>
                <w:rFonts w:ascii="宋体" w:eastAsia="宋体" w:hAnsi="宋体" w:hint="eastAsia"/>
                <w:sz w:val="21"/>
                <w:szCs w:val="21"/>
              </w:rPr>
              <w:br/>
              <w:t>苏泊尔杭州队在半程赛季成绩落后的不利环境下顶住压力发力逆转，最终荣获第三名；杭州云</w:t>
            </w:r>
            <w:proofErr w:type="gramStart"/>
            <w:r>
              <w:rPr>
                <w:rStyle w:val="font71"/>
                <w:rFonts w:ascii="宋体" w:eastAsia="宋体" w:hAnsi="宋体" w:hint="eastAsia"/>
                <w:sz w:val="21"/>
                <w:szCs w:val="21"/>
              </w:rPr>
              <w:t>林决破</w:t>
            </w:r>
            <w:proofErr w:type="gramEnd"/>
            <w:r>
              <w:rPr>
                <w:rStyle w:val="font71"/>
                <w:rFonts w:ascii="宋体" w:eastAsia="宋体" w:hAnsi="宋体" w:hint="eastAsia"/>
                <w:sz w:val="21"/>
                <w:szCs w:val="21"/>
              </w:rPr>
              <w:t>队取得第八名；</w:t>
            </w:r>
            <w:proofErr w:type="gramStart"/>
            <w:r>
              <w:rPr>
                <w:rStyle w:val="font71"/>
                <w:rFonts w:ascii="宋体" w:eastAsia="宋体" w:hAnsi="宋体" w:hint="eastAsia"/>
                <w:sz w:val="21"/>
                <w:szCs w:val="21"/>
              </w:rPr>
              <w:t>女子围甲杭州</w:t>
            </w:r>
            <w:proofErr w:type="gramEnd"/>
            <w:r>
              <w:rPr>
                <w:rStyle w:val="font71"/>
                <w:rFonts w:ascii="宋体" w:eastAsia="宋体" w:hAnsi="宋体" w:hint="eastAsia"/>
                <w:sz w:val="21"/>
                <w:szCs w:val="21"/>
              </w:rPr>
              <w:t>热联集团队最终夺得第五名的好成绩。</w:t>
            </w:r>
            <w:r>
              <w:rPr>
                <w:rStyle w:val="font71"/>
                <w:rFonts w:ascii="宋体" w:eastAsia="宋体" w:hAnsi="宋体" w:hint="eastAsia"/>
                <w:sz w:val="21"/>
                <w:szCs w:val="21"/>
              </w:rPr>
              <w:br/>
              <w:t>2.</w:t>
            </w:r>
            <w:proofErr w:type="gramStart"/>
            <w:r>
              <w:rPr>
                <w:rStyle w:val="font71"/>
                <w:rFonts w:ascii="宋体" w:eastAsia="宋体" w:hAnsi="宋体" w:hint="eastAsia"/>
                <w:sz w:val="21"/>
                <w:szCs w:val="21"/>
              </w:rPr>
              <w:t>象</w:t>
            </w:r>
            <w:proofErr w:type="gramEnd"/>
            <w:r>
              <w:rPr>
                <w:rStyle w:val="font71"/>
                <w:rFonts w:ascii="宋体" w:eastAsia="宋体" w:hAnsi="宋体" w:hint="eastAsia"/>
                <w:sz w:val="21"/>
                <w:szCs w:val="21"/>
              </w:rPr>
              <w:t>甲男队创历史最好成绩，女队保级成功</w:t>
            </w:r>
            <w:r>
              <w:rPr>
                <w:rStyle w:val="font71"/>
                <w:rFonts w:ascii="宋体" w:eastAsia="宋体" w:hAnsi="宋体" w:hint="eastAsia"/>
                <w:sz w:val="21"/>
                <w:szCs w:val="21"/>
              </w:rPr>
              <w:br/>
              <w:t>杭州环境集团队继2016年取得第六名的成绩后，引进了等级分第一人王天</w:t>
            </w:r>
            <w:proofErr w:type="gramStart"/>
            <w:r>
              <w:rPr>
                <w:rStyle w:val="font71"/>
                <w:rFonts w:ascii="宋体" w:eastAsia="宋体" w:hAnsi="宋体" w:hint="eastAsia"/>
                <w:sz w:val="21"/>
                <w:szCs w:val="21"/>
              </w:rPr>
              <w:t>一</w:t>
            </w:r>
            <w:proofErr w:type="gramEnd"/>
            <w:r>
              <w:rPr>
                <w:rStyle w:val="font71"/>
                <w:rFonts w:ascii="宋体" w:eastAsia="宋体" w:hAnsi="宋体" w:hint="eastAsia"/>
                <w:sz w:val="21"/>
                <w:szCs w:val="21"/>
              </w:rPr>
              <w:t>，以及分院自主培养的李炳贤，获得第五名的历史最好成绩，并开创两个新纪录，一是常规赛首次进入前三；二是王天</w:t>
            </w:r>
            <w:proofErr w:type="gramStart"/>
            <w:r>
              <w:rPr>
                <w:rStyle w:val="font71"/>
                <w:rFonts w:ascii="宋体" w:eastAsia="宋体" w:hAnsi="宋体" w:hint="eastAsia"/>
                <w:sz w:val="21"/>
                <w:szCs w:val="21"/>
              </w:rPr>
              <w:t>一</w:t>
            </w:r>
            <w:proofErr w:type="gramEnd"/>
            <w:r>
              <w:rPr>
                <w:rStyle w:val="font71"/>
                <w:rFonts w:ascii="宋体" w:eastAsia="宋体" w:hAnsi="宋体" w:hint="eastAsia"/>
                <w:sz w:val="21"/>
                <w:szCs w:val="21"/>
              </w:rPr>
              <w:t>以90.4%的超高胜率成为个人得分第一，这也是</w:t>
            </w:r>
            <w:proofErr w:type="gramStart"/>
            <w:r>
              <w:rPr>
                <w:rStyle w:val="font71"/>
                <w:rFonts w:ascii="宋体" w:eastAsia="宋体" w:hAnsi="宋体" w:hint="eastAsia"/>
                <w:sz w:val="21"/>
                <w:szCs w:val="21"/>
              </w:rPr>
              <w:t>象</w:t>
            </w:r>
            <w:proofErr w:type="gramEnd"/>
            <w:r>
              <w:rPr>
                <w:rStyle w:val="font71"/>
                <w:rFonts w:ascii="宋体" w:eastAsia="宋体" w:hAnsi="宋体" w:hint="eastAsia"/>
                <w:sz w:val="21"/>
                <w:szCs w:val="21"/>
              </w:rPr>
              <w:t>甲联赛有史以来最高纪录。象棋女甲</w:t>
            </w:r>
            <w:proofErr w:type="gramStart"/>
            <w:r>
              <w:rPr>
                <w:rStyle w:val="font71"/>
                <w:rFonts w:ascii="宋体" w:eastAsia="宋体" w:hAnsi="宋体" w:hint="eastAsia"/>
                <w:sz w:val="21"/>
                <w:szCs w:val="21"/>
              </w:rPr>
              <w:t>杭州龙元建设队</w:t>
            </w:r>
            <w:proofErr w:type="gramEnd"/>
            <w:r>
              <w:rPr>
                <w:rStyle w:val="font71"/>
                <w:rFonts w:ascii="宋体" w:eastAsia="宋体" w:hAnsi="宋体" w:hint="eastAsia"/>
                <w:sz w:val="21"/>
                <w:szCs w:val="21"/>
              </w:rPr>
              <w:t>获得团体第七名成功保级。</w:t>
            </w:r>
            <w:r>
              <w:rPr>
                <w:rStyle w:val="font71"/>
                <w:rFonts w:ascii="宋体" w:eastAsia="宋体" w:hAnsi="宋体" w:hint="eastAsia"/>
                <w:sz w:val="21"/>
                <w:szCs w:val="21"/>
              </w:rPr>
              <w:br/>
              <w:t>3.国际象棋杭州银行队顺利保甲，协会队冲甲成功</w:t>
            </w:r>
            <w:r>
              <w:rPr>
                <w:rStyle w:val="font71"/>
                <w:rFonts w:ascii="宋体" w:eastAsia="宋体" w:hAnsi="宋体" w:hint="eastAsia"/>
                <w:sz w:val="21"/>
                <w:szCs w:val="21"/>
              </w:rPr>
              <w:br/>
              <w:t>国际象棋杭州银行队以第九名的成绩成功保级。杭州市国际象棋协会队以10胜1和的骄人战绩冲甲成功，成为了杭州历史上第二支国际象棋甲级队。</w:t>
            </w:r>
            <w:r>
              <w:rPr>
                <w:rStyle w:val="font71"/>
                <w:rFonts w:ascii="宋体" w:eastAsia="宋体" w:hAnsi="宋体" w:hint="eastAsia"/>
                <w:sz w:val="21"/>
                <w:szCs w:val="21"/>
              </w:rPr>
              <w:br/>
              <w:t>（二）专业队勇创佳绩</w:t>
            </w:r>
            <w:r>
              <w:rPr>
                <w:rStyle w:val="font71"/>
                <w:rFonts w:ascii="宋体" w:eastAsia="宋体" w:hAnsi="宋体" w:hint="eastAsia"/>
                <w:sz w:val="21"/>
                <w:szCs w:val="21"/>
              </w:rPr>
              <w:br/>
              <w:t>1.连笑卫冕名人战，王天一夺得双冠军，签约棋手成绩斐然</w:t>
            </w:r>
            <w:r>
              <w:rPr>
                <w:rStyle w:val="font71"/>
                <w:rFonts w:ascii="宋体" w:eastAsia="宋体" w:hAnsi="宋体" w:hint="eastAsia"/>
                <w:sz w:val="21"/>
                <w:szCs w:val="21"/>
              </w:rPr>
              <w:br/>
              <w:t>专业队队员连笑凭借升段积分晋升职业九段，成为等级分制度改革后的首位九段棋手，并在“嫘祖杯”第三十届中国围棋名人战以2比1击败世界冠军</w:t>
            </w:r>
            <w:proofErr w:type="gramStart"/>
            <w:r>
              <w:rPr>
                <w:rStyle w:val="font71"/>
                <w:rFonts w:ascii="宋体" w:eastAsia="宋体" w:hAnsi="宋体" w:hint="eastAsia"/>
                <w:sz w:val="21"/>
                <w:szCs w:val="21"/>
              </w:rPr>
              <w:t>芈昱廷</w:t>
            </w:r>
            <w:proofErr w:type="gramEnd"/>
            <w:r>
              <w:rPr>
                <w:rStyle w:val="font71"/>
                <w:rFonts w:ascii="宋体" w:eastAsia="宋体" w:hAnsi="宋体" w:hint="eastAsia"/>
                <w:sz w:val="21"/>
                <w:szCs w:val="21"/>
              </w:rPr>
              <w:t>，既是名人战史上第三位能够3次以上夺冠的选手，也是现任国内顶级赛事名人、天元两大头衔的保有者。</w:t>
            </w:r>
            <w:r>
              <w:rPr>
                <w:rStyle w:val="font71"/>
                <w:rFonts w:ascii="宋体" w:eastAsia="宋体" w:hAnsi="宋体" w:hint="eastAsia"/>
                <w:sz w:val="21"/>
                <w:szCs w:val="21"/>
              </w:rPr>
              <w:br/>
              <w:t>其他运动员同样表现不俗。围棋方面：高星在全国</w:t>
            </w:r>
            <w:proofErr w:type="gramStart"/>
            <w:r>
              <w:rPr>
                <w:rStyle w:val="font71"/>
                <w:rFonts w:ascii="宋体" w:eastAsia="宋体" w:hAnsi="宋体" w:hint="eastAsia"/>
                <w:sz w:val="21"/>
                <w:szCs w:val="21"/>
              </w:rPr>
              <w:t>个人围棋</w:t>
            </w:r>
            <w:proofErr w:type="gramEnd"/>
            <w:r>
              <w:rPr>
                <w:rStyle w:val="font71"/>
                <w:rFonts w:ascii="宋体" w:eastAsia="宋体" w:hAnsi="宋体" w:hint="eastAsia"/>
                <w:sz w:val="21"/>
                <w:szCs w:val="21"/>
              </w:rPr>
              <w:t>锦标赛中发挥出色，战胜了当今国内女子围棋第一人</w:t>
            </w:r>
            <w:proofErr w:type="gramStart"/>
            <w:r>
              <w:rPr>
                <w:rStyle w:val="font71"/>
                <w:rFonts w:ascii="宋体" w:eastAsia="宋体" w:hAnsi="宋体" w:hint="eastAsia"/>
                <w:sz w:val="21"/>
                <w:szCs w:val="21"/>
              </w:rPr>
              <w:t>於之莹</w:t>
            </w:r>
            <w:proofErr w:type="gramEnd"/>
            <w:r>
              <w:rPr>
                <w:rStyle w:val="font71"/>
                <w:rFonts w:ascii="宋体" w:eastAsia="宋体" w:hAnsi="宋体" w:hint="eastAsia"/>
                <w:sz w:val="21"/>
                <w:szCs w:val="21"/>
              </w:rPr>
              <w:t>五段获得冠军；张涛获得CCTV电视快棋赛冠军；谢科四段和何旸三段，分别在第三届梦</w:t>
            </w:r>
            <w:proofErr w:type="gramStart"/>
            <w:r>
              <w:rPr>
                <w:rStyle w:val="font71"/>
                <w:rFonts w:ascii="宋体" w:eastAsia="宋体" w:hAnsi="宋体" w:hint="eastAsia"/>
                <w:sz w:val="21"/>
                <w:szCs w:val="21"/>
              </w:rPr>
              <w:t>百合杯</w:t>
            </w:r>
            <w:proofErr w:type="gramEnd"/>
            <w:r>
              <w:rPr>
                <w:rStyle w:val="font71"/>
                <w:rFonts w:ascii="宋体" w:eastAsia="宋体" w:hAnsi="宋体" w:hint="eastAsia"/>
                <w:sz w:val="21"/>
                <w:szCs w:val="21"/>
              </w:rPr>
              <w:t>世界围棋公开赛中晋级四强和十六强。象棋、国象方面：象棋吉星海、国际象棋相泽宇在全国团体锦标赛中晋升为国家大师。赵金成荣获亚洲象棋公开赛冠军，白金石获得扎达尔公开赛和格罗宁根公开赛双冠军。在全国国际象棋团体锦标赛中，男队队员获得了男子团体第二名的历史最佳成绩，创造了新的历史成绩。</w:t>
            </w:r>
            <w:r>
              <w:rPr>
                <w:rStyle w:val="font71"/>
                <w:rFonts w:ascii="宋体" w:eastAsia="宋体" w:hAnsi="宋体" w:hint="eastAsia"/>
                <w:sz w:val="21"/>
                <w:szCs w:val="21"/>
              </w:rPr>
              <w:br/>
              <w:t>2.国家青少年围棋集训二队（国青少二队）建设稳步推进</w:t>
            </w:r>
            <w:r>
              <w:rPr>
                <w:rStyle w:val="font71"/>
                <w:rFonts w:ascii="宋体" w:eastAsia="宋体" w:hAnsi="宋体" w:hint="eastAsia"/>
                <w:sz w:val="21"/>
                <w:szCs w:val="21"/>
              </w:rPr>
              <w:br/>
              <w:t>随着专业队水平的提升，</w:t>
            </w:r>
            <w:proofErr w:type="gramStart"/>
            <w:r>
              <w:rPr>
                <w:rStyle w:val="font71"/>
                <w:rFonts w:ascii="宋体" w:eastAsia="宋体" w:hAnsi="宋体" w:hint="eastAsia"/>
                <w:sz w:val="21"/>
                <w:szCs w:val="21"/>
              </w:rPr>
              <w:t>现有国</w:t>
            </w:r>
            <w:proofErr w:type="gramEnd"/>
            <w:r>
              <w:rPr>
                <w:rStyle w:val="font71"/>
                <w:rFonts w:ascii="宋体" w:eastAsia="宋体" w:hAnsi="宋体" w:hint="eastAsia"/>
                <w:sz w:val="21"/>
                <w:szCs w:val="21"/>
              </w:rPr>
              <w:t>青少二队有60%的人员是围棋队编内或签约棋手，是目前国内集训人数最多、专业水平位居前列的专业运动队。</w:t>
            </w:r>
            <w:r>
              <w:rPr>
                <w:rStyle w:val="font71"/>
                <w:rFonts w:ascii="宋体" w:eastAsia="宋体" w:hAnsi="宋体" w:hint="eastAsia"/>
                <w:sz w:val="21"/>
                <w:szCs w:val="21"/>
              </w:rPr>
              <w:br/>
              <w:t>（三）顶级赛事异彩纷呈</w:t>
            </w:r>
            <w:r>
              <w:rPr>
                <w:rStyle w:val="font71"/>
                <w:rFonts w:ascii="宋体" w:eastAsia="宋体" w:hAnsi="宋体" w:hint="eastAsia"/>
                <w:sz w:val="21"/>
                <w:szCs w:val="21"/>
              </w:rPr>
              <w:br/>
              <w:t>1.棋王争霸赛推陈出新各项数据创纪录</w:t>
            </w:r>
            <w:r>
              <w:rPr>
                <w:rStyle w:val="font71"/>
                <w:rFonts w:ascii="宋体" w:eastAsia="宋体" w:hAnsi="宋体" w:hint="eastAsia"/>
                <w:sz w:val="21"/>
                <w:szCs w:val="21"/>
              </w:rPr>
              <w:br/>
              <w:t>2017年，棋王赛进一步推陈出新，在保持赛事原有特色的基础上，</w:t>
            </w:r>
            <w:proofErr w:type="gramStart"/>
            <w:r>
              <w:rPr>
                <w:rStyle w:val="font71"/>
                <w:rFonts w:ascii="宋体" w:eastAsia="宋体" w:hAnsi="宋体" w:hint="eastAsia"/>
                <w:sz w:val="21"/>
                <w:szCs w:val="21"/>
              </w:rPr>
              <w:t>通过浙数文化</w:t>
            </w:r>
            <w:proofErr w:type="gramEnd"/>
            <w:r>
              <w:rPr>
                <w:rStyle w:val="font71"/>
                <w:rFonts w:ascii="宋体" w:eastAsia="宋体" w:hAnsi="宋体" w:hint="eastAsia"/>
                <w:sz w:val="21"/>
                <w:szCs w:val="21"/>
              </w:rPr>
              <w:t>、上海</w:t>
            </w:r>
            <w:proofErr w:type="gramStart"/>
            <w:r>
              <w:rPr>
                <w:rStyle w:val="font71"/>
                <w:rFonts w:ascii="宋体" w:eastAsia="宋体" w:hAnsi="宋体" w:hint="eastAsia"/>
                <w:sz w:val="21"/>
                <w:szCs w:val="21"/>
              </w:rPr>
              <w:t>浩</w:t>
            </w:r>
            <w:proofErr w:type="gramEnd"/>
            <w:r>
              <w:rPr>
                <w:rStyle w:val="font71"/>
                <w:rFonts w:ascii="宋体" w:eastAsia="宋体" w:hAnsi="宋体" w:hint="eastAsia"/>
                <w:sz w:val="21"/>
                <w:szCs w:val="21"/>
              </w:rPr>
              <w:t>方在线、中国青少年</w:t>
            </w:r>
            <w:proofErr w:type="gramStart"/>
            <w:r>
              <w:rPr>
                <w:rStyle w:val="font71"/>
                <w:rFonts w:ascii="宋体" w:eastAsia="宋体" w:hAnsi="宋体" w:hint="eastAsia"/>
                <w:sz w:val="21"/>
                <w:szCs w:val="21"/>
              </w:rPr>
              <w:t>宫协会</w:t>
            </w:r>
            <w:proofErr w:type="gramEnd"/>
            <w:r>
              <w:rPr>
                <w:rStyle w:val="font71"/>
                <w:rFonts w:ascii="宋体" w:eastAsia="宋体" w:hAnsi="宋体" w:hint="eastAsia"/>
                <w:sz w:val="21"/>
                <w:szCs w:val="21"/>
              </w:rPr>
              <w:t>等单位，建立了完善的赛事平台，积极动员杭州市棋类培训机构、杭州市棋类共建学校、杭州市棋类教练员、中国青少年宫、市总工会各成员单位“五路大军”参加棋王</w:t>
            </w:r>
            <w:proofErr w:type="gramStart"/>
            <w:r>
              <w:rPr>
                <w:rStyle w:val="font71"/>
                <w:rFonts w:ascii="宋体" w:eastAsia="宋体" w:hAnsi="宋体" w:hint="eastAsia"/>
                <w:sz w:val="21"/>
                <w:szCs w:val="21"/>
              </w:rPr>
              <w:t>争霸赛线上</w:t>
            </w:r>
            <w:proofErr w:type="gramEnd"/>
            <w:r>
              <w:rPr>
                <w:rStyle w:val="font71"/>
                <w:rFonts w:ascii="宋体" w:eastAsia="宋体" w:hAnsi="宋体" w:hint="eastAsia"/>
                <w:sz w:val="21"/>
                <w:szCs w:val="21"/>
              </w:rPr>
              <w:t>比赛。今年的比赛共吸引了26.7万用户参与了</w:t>
            </w:r>
            <w:proofErr w:type="gramStart"/>
            <w:r>
              <w:rPr>
                <w:rStyle w:val="font71"/>
                <w:rFonts w:ascii="宋体" w:eastAsia="宋体" w:hAnsi="宋体" w:hint="eastAsia"/>
                <w:sz w:val="21"/>
                <w:szCs w:val="21"/>
              </w:rPr>
              <w:t>线上赛的</w:t>
            </w:r>
            <w:proofErr w:type="gramEnd"/>
            <w:r>
              <w:rPr>
                <w:rStyle w:val="font71"/>
                <w:rFonts w:ascii="宋体" w:eastAsia="宋体" w:hAnsi="宋体" w:hint="eastAsia"/>
                <w:sz w:val="21"/>
                <w:szCs w:val="21"/>
              </w:rPr>
              <w:t>争夺，总对局数356万，总人次数超过711万。其中共建学校学生参赛人数达3万人，累计比赛局数达到355.8万盘，无论是参赛人数还是局数都创下历年最高的记录，标志着分院在“互联网+”时代迈出了创新改革的坚实一步。</w:t>
            </w:r>
            <w:r>
              <w:rPr>
                <w:rStyle w:val="font71"/>
                <w:rFonts w:ascii="宋体" w:eastAsia="宋体" w:hAnsi="宋体" w:hint="eastAsia"/>
                <w:sz w:val="21"/>
                <w:szCs w:val="21"/>
              </w:rPr>
              <w:br/>
              <w:t>2.成功举办其他各类赛事</w:t>
            </w:r>
            <w:r>
              <w:rPr>
                <w:rStyle w:val="font71"/>
                <w:rFonts w:ascii="宋体" w:eastAsia="宋体" w:hAnsi="宋体" w:hint="eastAsia"/>
                <w:sz w:val="21"/>
                <w:szCs w:val="21"/>
              </w:rPr>
              <w:br/>
              <w:t>举办世界</w:t>
            </w:r>
            <w:proofErr w:type="gramStart"/>
            <w:r>
              <w:rPr>
                <w:rStyle w:val="font71"/>
                <w:rFonts w:ascii="宋体" w:eastAsia="宋体" w:hAnsi="宋体" w:hint="eastAsia"/>
                <w:sz w:val="21"/>
                <w:szCs w:val="21"/>
              </w:rPr>
              <w:t>围棋星锐最强</w:t>
            </w:r>
            <w:proofErr w:type="gramEnd"/>
            <w:r>
              <w:rPr>
                <w:rStyle w:val="font71"/>
                <w:rFonts w:ascii="宋体" w:eastAsia="宋体" w:hAnsi="宋体" w:hint="eastAsia"/>
                <w:sz w:val="21"/>
                <w:szCs w:val="21"/>
              </w:rPr>
              <w:t>战，承办第五届全国新闻届围棋锦标赛。此外不仅举办多个甲级联赛主场比赛，还主办、承办50余项业余赛事，将棋类项目推广和普及工作落到实处。</w:t>
            </w:r>
            <w:r>
              <w:rPr>
                <w:rStyle w:val="font71"/>
                <w:rFonts w:ascii="宋体" w:eastAsia="宋体" w:hAnsi="宋体" w:hint="eastAsia"/>
                <w:sz w:val="21"/>
                <w:szCs w:val="21"/>
              </w:rPr>
              <w:br/>
              <w:t>（四）棋类爱好者的盛会丰富多彩</w:t>
            </w:r>
            <w:r>
              <w:rPr>
                <w:rStyle w:val="font71"/>
                <w:rFonts w:ascii="宋体" w:eastAsia="宋体" w:hAnsi="宋体" w:hint="eastAsia"/>
                <w:sz w:val="21"/>
                <w:szCs w:val="21"/>
              </w:rPr>
              <w:br/>
              <w:t>1.棋琴书画展销会成功举办</w:t>
            </w:r>
            <w:r>
              <w:rPr>
                <w:rStyle w:val="font71"/>
                <w:rFonts w:ascii="宋体" w:eastAsia="宋体" w:hAnsi="宋体" w:hint="eastAsia"/>
                <w:sz w:val="21"/>
                <w:szCs w:val="21"/>
              </w:rPr>
              <w:br/>
              <w:t>整个展销会期间的参观人数突破1万人次，参展商也都取得了预期经济收益。</w:t>
            </w:r>
            <w:r>
              <w:rPr>
                <w:rStyle w:val="font71"/>
                <w:rFonts w:ascii="宋体" w:eastAsia="宋体" w:hAnsi="宋体" w:hint="eastAsia"/>
                <w:sz w:val="21"/>
                <w:szCs w:val="21"/>
              </w:rPr>
              <w:br/>
              <w:t>2.创意设计制作大赛、六艺教育文化展精彩纷呈</w:t>
            </w:r>
            <w:r>
              <w:rPr>
                <w:rStyle w:val="font71"/>
                <w:rFonts w:ascii="宋体" w:eastAsia="宋体" w:hAnsi="宋体" w:hint="eastAsia"/>
                <w:sz w:val="21"/>
                <w:szCs w:val="21"/>
              </w:rPr>
              <w:br/>
            </w:r>
            <w:r>
              <w:rPr>
                <w:rStyle w:val="font71"/>
                <w:rFonts w:ascii="宋体" w:eastAsia="宋体" w:hAnsi="宋体" w:hint="eastAsia"/>
                <w:sz w:val="21"/>
                <w:szCs w:val="21"/>
              </w:rPr>
              <w:lastRenderedPageBreak/>
              <w:t>在《中国围棋博物馆棋琴书画衍生品创意设计制作大赛》中脱颖而出的60件获奖作品</w:t>
            </w:r>
            <w:proofErr w:type="gramStart"/>
            <w:r>
              <w:rPr>
                <w:rStyle w:val="font71"/>
                <w:rFonts w:ascii="宋体" w:eastAsia="宋体" w:hAnsi="宋体" w:hint="eastAsia"/>
                <w:sz w:val="21"/>
                <w:szCs w:val="21"/>
              </w:rPr>
              <w:t>于棋博</w:t>
            </w:r>
            <w:proofErr w:type="gramEnd"/>
            <w:r>
              <w:rPr>
                <w:rStyle w:val="font71"/>
                <w:rFonts w:ascii="宋体" w:eastAsia="宋体" w:hAnsi="宋体" w:hint="eastAsia"/>
                <w:sz w:val="21"/>
                <w:szCs w:val="21"/>
              </w:rPr>
              <w:t>会期间在分院集中展出。同时，由分院、西</w:t>
            </w:r>
            <w:proofErr w:type="gramStart"/>
            <w:r>
              <w:rPr>
                <w:rStyle w:val="font71"/>
                <w:rFonts w:ascii="宋体" w:eastAsia="宋体" w:hAnsi="宋体" w:hint="eastAsia"/>
                <w:sz w:val="21"/>
                <w:szCs w:val="21"/>
              </w:rPr>
              <w:t>泠</w:t>
            </w:r>
            <w:proofErr w:type="gramEnd"/>
            <w:r>
              <w:rPr>
                <w:rStyle w:val="font71"/>
                <w:rFonts w:ascii="宋体" w:eastAsia="宋体" w:hAnsi="宋体" w:hint="eastAsia"/>
                <w:sz w:val="21"/>
                <w:szCs w:val="21"/>
              </w:rPr>
              <w:t>学院？天元文化艺术中心及杭州爱乐乐团共同举办“六艺教育文化展演暨艺术大师摄影回顾展”也带给广大市民科技与美的震撼。回顾展选用被誉为“英国最杰出表演艺术摄影家”克</w:t>
            </w:r>
            <w:proofErr w:type="gramStart"/>
            <w:r>
              <w:rPr>
                <w:rStyle w:val="font71"/>
                <w:rFonts w:ascii="宋体" w:eastAsia="宋体" w:hAnsi="宋体" w:hint="eastAsia"/>
                <w:sz w:val="21"/>
                <w:szCs w:val="21"/>
              </w:rPr>
              <w:t>莱</w:t>
            </w:r>
            <w:proofErr w:type="gramEnd"/>
            <w:r>
              <w:rPr>
                <w:rStyle w:val="font71"/>
                <w:rFonts w:ascii="宋体" w:eastAsia="宋体" w:hAnsi="宋体" w:hint="eastAsia"/>
                <w:sz w:val="21"/>
                <w:szCs w:val="21"/>
              </w:rPr>
              <w:t>夫？巴达的60幅作品，通过直观展示与人工智能二次创作相结合的手法予以呈现，让杭州的老百姓在“凝固的音乐”中感受到人工智能时代的到来。</w:t>
            </w:r>
            <w:r>
              <w:rPr>
                <w:rStyle w:val="font71"/>
                <w:rFonts w:ascii="宋体" w:eastAsia="宋体" w:hAnsi="宋体" w:hint="eastAsia"/>
                <w:sz w:val="21"/>
                <w:szCs w:val="21"/>
              </w:rPr>
              <w:br/>
              <w:t>（五）第二课堂活动深入校园基层</w:t>
            </w:r>
            <w:r>
              <w:rPr>
                <w:rStyle w:val="font71"/>
                <w:rFonts w:ascii="宋体" w:eastAsia="宋体" w:hAnsi="宋体" w:hint="eastAsia"/>
                <w:sz w:val="21"/>
                <w:szCs w:val="21"/>
              </w:rPr>
              <w:br/>
              <w:t>1.切实</w:t>
            </w:r>
            <w:proofErr w:type="gramStart"/>
            <w:r>
              <w:rPr>
                <w:rStyle w:val="font71"/>
                <w:rFonts w:ascii="宋体" w:eastAsia="宋体" w:hAnsi="宋体" w:hint="eastAsia"/>
                <w:sz w:val="21"/>
                <w:szCs w:val="21"/>
              </w:rPr>
              <w:t>履行棋管中心</w:t>
            </w:r>
            <w:proofErr w:type="gramEnd"/>
            <w:r>
              <w:rPr>
                <w:rStyle w:val="font71"/>
                <w:rFonts w:ascii="宋体" w:eastAsia="宋体" w:hAnsi="宋体" w:hint="eastAsia"/>
                <w:sz w:val="21"/>
                <w:szCs w:val="21"/>
              </w:rPr>
              <w:t>的管理职能</w:t>
            </w:r>
            <w:r>
              <w:rPr>
                <w:rStyle w:val="font71"/>
                <w:rFonts w:ascii="宋体" w:eastAsia="宋体" w:hAnsi="宋体" w:hint="eastAsia"/>
                <w:sz w:val="21"/>
                <w:szCs w:val="21"/>
              </w:rPr>
              <w:br/>
              <w:t>一年来，通过前置审批，成立4家棋类培训机构，全市棋类培训机构备案总数增至30家。</w:t>
            </w:r>
            <w:r>
              <w:rPr>
                <w:rStyle w:val="font71"/>
                <w:rFonts w:ascii="宋体" w:eastAsia="宋体" w:hAnsi="宋体" w:hint="eastAsia"/>
                <w:sz w:val="21"/>
                <w:szCs w:val="21"/>
              </w:rPr>
              <w:br/>
              <w:t>2.规范管理棋类共建学校和棋琴书画共建学校</w:t>
            </w:r>
            <w:r>
              <w:rPr>
                <w:rStyle w:val="font71"/>
                <w:rFonts w:ascii="宋体" w:eastAsia="宋体" w:hAnsi="宋体" w:hint="eastAsia"/>
                <w:sz w:val="21"/>
                <w:szCs w:val="21"/>
              </w:rPr>
              <w:br/>
              <w:t>结合2017年棋王争霸赛组织参赛情况核准55所第四批棋类共建学校；取消22所两年未达标的共建学校资格。截至去年年底杭州市棋类共建学校的队伍扩容至182所学校，在今年年初将扩容至200所共建学校。</w:t>
            </w:r>
            <w:r>
              <w:rPr>
                <w:rStyle w:val="font71"/>
                <w:rFonts w:ascii="宋体" w:eastAsia="宋体" w:hAnsi="宋体" w:hint="eastAsia"/>
                <w:sz w:val="21"/>
                <w:szCs w:val="21"/>
              </w:rPr>
              <w:br/>
              <w:t>3.建立全市业余棋类教练员、运动员管理体系</w:t>
            </w:r>
            <w:r>
              <w:rPr>
                <w:rStyle w:val="font71"/>
                <w:rFonts w:ascii="宋体" w:eastAsia="宋体" w:hAnsi="宋体" w:hint="eastAsia"/>
                <w:sz w:val="21"/>
                <w:szCs w:val="21"/>
              </w:rPr>
              <w:br/>
              <w:t>分院联合市青少年活动中心举办2场</w:t>
            </w:r>
            <w:proofErr w:type="gramStart"/>
            <w:r>
              <w:rPr>
                <w:rStyle w:val="font71"/>
                <w:rFonts w:ascii="宋体" w:eastAsia="宋体" w:hAnsi="宋体" w:hint="eastAsia"/>
                <w:sz w:val="21"/>
                <w:szCs w:val="21"/>
              </w:rPr>
              <w:t>杭州市四棋初级</w:t>
            </w:r>
            <w:proofErr w:type="gramEnd"/>
            <w:r>
              <w:rPr>
                <w:rStyle w:val="font71"/>
                <w:rFonts w:ascii="宋体" w:eastAsia="宋体" w:hAnsi="宋体" w:hint="eastAsia"/>
                <w:sz w:val="21"/>
                <w:szCs w:val="21"/>
              </w:rPr>
              <w:t>教练员培训和中级围棋教练员培训。总计培训人数超过400人，创历年之最。</w:t>
            </w:r>
            <w:r>
              <w:rPr>
                <w:rStyle w:val="font71"/>
                <w:rFonts w:ascii="宋体" w:eastAsia="宋体" w:hAnsi="宋体" w:hint="eastAsia"/>
                <w:sz w:val="21"/>
                <w:szCs w:val="21"/>
              </w:rPr>
              <w:br/>
              <w:t>（六）天才儿童发现计划深入实践</w:t>
            </w:r>
            <w:r>
              <w:rPr>
                <w:rStyle w:val="font71"/>
                <w:rFonts w:ascii="宋体" w:eastAsia="宋体" w:hAnsi="宋体" w:hint="eastAsia"/>
                <w:sz w:val="21"/>
                <w:szCs w:val="21"/>
              </w:rPr>
              <w:br/>
              <w:t>1.西</w:t>
            </w:r>
            <w:proofErr w:type="gramStart"/>
            <w:r>
              <w:rPr>
                <w:rStyle w:val="font71"/>
                <w:rFonts w:ascii="宋体" w:eastAsia="宋体" w:hAnsi="宋体" w:hint="eastAsia"/>
                <w:sz w:val="21"/>
                <w:szCs w:val="21"/>
              </w:rPr>
              <w:t>泠</w:t>
            </w:r>
            <w:proofErr w:type="gramEnd"/>
            <w:r>
              <w:rPr>
                <w:rStyle w:val="font71"/>
                <w:rFonts w:ascii="宋体" w:eastAsia="宋体" w:hAnsi="宋体" w:hint="eastAsia"/>
                <w:sz w:val="21"/>
                <w:szCs w:val="21"/>
              </w:rPr>
              <w:t>学院首次尝试六艺一体化培训</w:t>
            </w:r>
            <w:r>
              <w:rPr>
                <w:rStyle w:val="font71"/>
                <w:rFonts w:ascii="宋体" w:eastAsia="宋体" w:hAnsi="宋体" w:hint="eastAsia"/>
                <w:sz w:val="21"/>
                <w:szCs w:val="21"/>
              </w:rPr>
              <w:br/>
              <w:t>2017年引入西泠印社集团优势资源，联合创办了西</w:t>
            </w:r>
            <w:proofErr w:type="gramStart"/>
            <w:r>
              <w:rPr>
                <w:rStyle w:val="font71"/>
                <w:rFonts w:ascii="宋体" w:eastAsia="宋体" w:hAnsi="宋体" w:hint="eastAsia"/>
                <w:sz w:val="21"/>
                <w:szCs w:val="21"/>
              </w:rPr>
              <w:t>泠</w:t>
            </w:r>
            <w:proofErr w:type="gramEnd"/>
            <w:r>
              <w:rPr>
                <w:rStyle w:val="font71"/>
                <w:rFonts w:ascii="宋体" w:eastAsia="宋体" w:hAnsi="宋体" w:hint="eastAsia"/>
                <w:sz w:val="21"/>
                <w:szCs w:val="21"/>
              </w:rPr>
              <w:t>学院？天元文化艺术中心，从棋类拓展到琴、书、画、数学和语言专业人才的培养。中心开设了书法、国画、钢琴等门类的100多个班级，招生400余人，半年收入达180万元，实现赢利的同时盘活了场地资源，也为培养世界级六艺大师提供实践经验。</w:t>
            </w:r>
            <w:r>
              <w:rPr>
                <w:rStyle w:val="font71"/>
                <w:rFonts w:ascii="宋体" w:eastAsia="宋体" w:hAnsi="宋体" w:hint="eastAsia"/>
                <w:sz w:val="21"/>
                <w:szCs w:val="21"/>
              </w:rPr>
              <w:br/>
              <w:t>2.业余培训紧扣“天才儿童发现计划”</w:t>
            </w:r>
            <w:r>
              <w:rPr>
                <w:rStyle w:val="font71"/>
                <w:rFonts w:ascii="宋体" w:eastAsia="宋体" w:hAnsi="宋体" w:hint="eastAsia"/>
                <w:sz w:val="21"/>
                <w:szCs w:val="21"/>
              </w:rPr>
              <w:br/>
              <w:t>围棋开班数量稳步提升至21个，在训学生人数愈千人。象棋业余培训达500余人，国际象棋业余培训达700余人。</w:t>
            </w:r>
            <w:r>
              <w:rPr>
                <w:rStyle w:val="font71"/>
                <w:rFonts w:ascii="宋体" w:eastAsia="宋体" w:hAnsi="宋体" w:hint="eastAsia"/>
                <w:sz w:val="21"/>
                <w:szCs w:val="21"/>
              </w:rPr>
              <w:br/>
            </w:r>
            <w:r>
              <w:rPr>
                <w:rStyle w:val="font71"/>
                <w:rFonts w:ascii="宋体" w:eastAsia="宋体" w:hAnsi="宋体" w:hint="eastAsia"/>
                <w:sz w:val="21"/>
                <w:szCs w:val="21"/>
              </w:rPr>
              <w:br/>
              <w:t>专业棋手培养和棋文化研究成效显著</w:t>
            </w:r>
            <w:r>
              <w:rPr>
                <w:rStyle w:val="font71"/>
                <w:rFonts w:ascii="宋体" w:eastAsia="宋体" w:hAnsi="宋体" w:hint="eastAsia"/>
                <w:sz w:val="21"/>
                <w:szCs w:val="21"/>
              </w:rPr>
              <w:br/>
              <w:t>（一）各类比赛取得斐然成绩</w:t>
            </w:r>
            <w:r>
              <w:rPr>
                <w:rStyle w:val="font71"/>
                <w:rFonts w:ascii="宋体" w:eastAsia="宋体" w:hAnsi="宋体" w:hint="eastAsia"/>
                <w:sz w:val="21"/>
                <w:szCs w:val="21"/>
              </w:rPr>
              <w:br/>
              <w:t>围绕“打造冠军摇篮”这一坚定目标。围棋冲段班在7月“围棋高考”定段赛中发挥出色，拿到全国30个定段名额中的13个，力压北京聂葛道，并连续2年有12岁学生定段成功，连续3年获得“围棋高考状元”，完成“保1/3争1/2”的定段任务。</w:t>
            </w:r>
            <w:r>
              <w:rPr>
                <w:rStyle w:val="font71"/>
                <w:rFonts w:ascii="宋体" w:eastAsia="宋体" w:hAnsi="宋体" w:hint="eastAsia"/>
                <w:sz w:val="21"/>
                <w:szCs w:val="21"/>
              </w:rPr>
              <w:br/>
              <w:t>此外，学校学生还在丰城杯全国业余围棋公开赛等重大比赛中获得冠军等奖项；在16岁以下的全国少儿锦标赛、</w:t>
            </w:r>
            <w:proofErr w:type="gramStart"/>
            <w:r>
              <w:rPr>
                <w:rStyle w:val="font71"/>
                <w:rFonts w:ascii="宋体" w:eastAsia="宋体" w:hAnsi="宋体" w:hint="eastAsia"/>
                <w:sz w:val="21"/>
                <w:szCs w:val="21"/>
              </w:rPr>
              <w:t>百灵杯</w:t>
            </w:r>
            <w:proofErr w:type="gramEnd"/>
            <w:r>
              <w:rPr>
                <w:rStyle w:val="font71"/>
                <w:rFonts w:ascii="宋体" w:eastAsia="宋体" w:hAnsi="宋体" w:hint="eastAsia"/>
                <w:sz w:val="21"/>
                <w:szCs w:val="21"/>
              </w:rPr>
              <w:t>少儿赛和14岁以下的</w:t>
            </w:r>
            <w:proofErr w:type="gramStart"/>
            <w:r>
              <w:rPr>
                <w:rStyle w:val="font71"/>
                <w:rFonts w:ascii="宋体" w:eastAsia="宋体" w:hAnsi="宋体" w:hint="eastAsia"/>
                <w:sz w:val="21"/>
                <w:szCs w:val="21"/>
              </w:rPr>
              <w:t>分院杯</w:t>
            </w:r>
            <w:proofErr w:type="gramEnd"/>
            <w:r>
              <w:rPr>
                <w:rStyle w:val="font71"/>
                <w:rFonts w:ascii="宋体" w:eastAsia="宋体" w:hAnsi="宋体" w:hint="eastAsia"/>
                <w:sz w:val="21"/>
                <w:szCs w:val="21"/>
              </w:rPr>
              <w:t>少儿赛等全国少儿围棋赛事中，棋类学校学生几乎包揽了各小组的前三名；在第13届全运会上，棋类学校学生分别代表所在省份共获得4枚金牌，刘云</w:t>
            </w:r>
            <w:proofErr w:type="gramStart"/>
            <w:r>
              <w:rPr>
                <w:rStyle w:val="font71"/>
                <w:rFonts w:ascii="宋体" w:eastAsia="宋体" w:hAnsi="宋体" w:hint="eastAsia"/>
                <w:sz w:val="21"/>
                <w:szCs w:val="21"/>
              </w:rPr>
              <w:t>程获得</w:t>
            </w:r>
            <w:proofErr w:type="gramEnd"/>
            <w:r>
              <w:rPr>
                <w:rStyle w:val="font71"/>
                <w:rFonts w:ascii="宋体" w:eastAsia="宋体" w:hAnsi="宋体" w:hint="eastAsia"/>
                <w:sz w:val="21"/>
                <w:szCs w:val="21"/>
              </w:rPr>
              <w:t>业余男子围棋组冠军、方若曦业余女子围棋组冠军、刘云程和吴依铭组合业余围棋团体冠军、王文君业余女子象棋组冠军。另外，象棋晋级班还获得4个全国少儿冠军，2017年7月王</w:t>
            </w:r>
            <w:proofErr w:type="gramStart"/>
            <w:r>
              <w:rPr>
                <w:rStyle w:val="font71"/>
                <w:rFonts w:ascii="宋体" w:eastAsia="宋体" w:hAnsi="宋体" w:hint="eastAsia"/>
                <w:sz w:val="21"/>
                <w:szCs w:val="21"/>
              </w:rPr>
              <w:t>浩</w:t>
            </w:r>
            <w:proofErr w:type="gramEnd"/>
            <w:r>
              <w:rPr>
                <w:rStyle w:val="font71"/>
                <w:rFonts w:ascii="宋体" w:eastAsia="宋体" w:hAnsi="宋体" w:hint="eastAsia"/>
                <w:sz w:val="21"/>
                <w:szCs w:val="21"/>
              </w:rPr>
              <w:t>楠获得第十届全国象棋青年锦标赛(个人)冠军，成为了目前全国最年轻的男子象棋大师。</w:t>
            </w:r>
            <w:r>
              <w:rPr>
                <w:rStyle w:val="font71"/>
                <w:rFonts w:ascii="宋体" w:eastAsia="宋体" w:hAnsi="宋体" w:hint="eastAsia"/>
                <w:sz w:val="21"/>
                <w:szCs w:val="21"/>
              </w:rPr>
              <w:br/>
              <w:t>（二）杭州</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研究成果喜人</w:t>
            </w:r>
            <w:r>
              <w:rPr>
                <w:rStyle w:val="font71"/>
                <w:rFonts w:ascii="宋体" w:eastAsia="宋体" w:hAnsi="宋体" w:hint="eastAsia"/>
                <w:sz w:val="21"/>
                <w:szCs w:val="21"/>
              </w:rPr>
              <w:br/>
              <w:t>1.</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峰会参与广泛</w:t>
            </w:r>
            <w:r>
              <w:rPr>
                <w:rStyle w:val="font71"/>
                <w:rFonts w:ascii="宋体" w:eastAsia="宋体" w:hAnsi="宋体" w:hint="eastAsia"/>
                <w:sz w:val="21"/>
                <w:szCs w:val="21"/>
              </w:rPr>
              <w:br/>
              <w:t>第五届</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峰会参会嘉宾共146人，其中来自德国、英国、新加坡、韩国、日本、马来西亚等外国嘉宾共15人，港澳台嘉宾7人，跟往年相比，参会者的地域范围更广，人数也有所增加。基本做到了坚持党政、企业、专家、媒体、市民相结合的“五位一体”研究主体，坚持打好杭州牌、浙江牌、中华牌和国际牌四牌共打的运作模式，坚持权威性、系</w:t>
            </w:r>
            <w:r>
              <w:rPr>
                <w:rStyle w:val="font71"/>
                <w:rFonts w:ascii="宋体" w:eastAsia="宋体" w:hAnsi="宋体" w:hint="eastAsia"/>
                <w:sz w:val="21"/>
                <w:szCs w:val="21"/>
              </w:rPr>
              <w:lastRenderedPageBreak/>
              <w:t>统性、学术性、普及性四性结合的研究方法。</w:t>
            </w:r>
            <w:r>
              <w:rPr>
                <w:rStyle w:val="font71"/>
                <w:rFonts w:ascii="宋体" w:eastAsia="宋体" w:hAnsi="宋体" w:hint="eastAsia"/>
                <w:sz w:val="21"/>
                <w:szCs w:val="21"/>
              </w:rPr>
              <w:br/>
              <w:t>2.课题论文成果显著</w:t>
            </w:r>
            <w:r>
              <w:rPr>
                <w:rStyle w:val="font71"/>
                <w:rFonts w:ascii="宋体" w:eastAsia="宋体" w:hAnsi="宋体" w:hint="eastAsia"/>
                <w:sz w:val="21"/>
                <w:szCs w:val="21"/>
              </w:rPr>
              <w:br/>
              <w:t>第五届峰会围绕当前</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研究亟待解决的“8+X”课题，共收到来自海内外81篇正式投稿论文，其中国外论文8篇，港澳台论文4篇。</w:t>
            </w:r>
            <w:r>
              <w:rPr>
                <w:rStyle w:val="font71"/>
                <w:rFonts w:ascii="宋体" w:eastAsia="宋体" w:hAnsi="宋体" w:hint="eastAsia"/>
                <w:sz w:val="21"/>
                <w:szCs w:val="21"/>
              </w:rPr>
              <w:br/>
              <w:t>3.峰会模式形式创新</w:t>
            </w:r>
            <w:r>
              <w:rPr>
                <w:rStyle w:val="font71"/>
                <w:rFonts w:ascii="宋体" w:eastAsia="宋体" w:hAnsi="宋体" w:hint="eastAsia"/>
                <w:sz w:val="21"/>
                <w:szCs w:val="21"/>
              </w:rPr>
              <w:br/>
              <w:t>峰会还举办了主题为“围棋人工智能对职业棋界的影响利大于</w:t>
            </w:r>
            <w:proofErr w:type="gramStart"/>
            <w:r>
              <w:rPr>
                <w:rStyle w:val="font71"/>
                <w:rFonts w:ascii="宋体" w:eastAsia="宋体" w:hAnsi="宋体" w:hint="eastAsia"/>
                <w:sz w:val="21"/>
                <w:szCs w:val="21"/>
              </w:rPr>
              <w:t>弊</w:t>
            </w:r>
            <w:proofErr w:type="gramEnd"/>
            <w:r>
              <w:rPr>
                <w:rStyle w:val="font71"/>
                <w:rFonts w:ascii="宋体" w:eastAsia="宋体" w:hAnsi="宋体" w:hint="eastAsia"/>
                <w:sz w:val="21"/>
                <w:szCs w:val="21"/>
              </w:rPr>
              <w:t>还是</w:t>
            </w:r>
            <w:proofErr w:type="gramStart"/>
            <w:r>
              <w:rPr>
                <w:rStyle w:val="font71"/>
                <w:rFonts w:ascii="宋体" w:eastAsia="宋体" w:hAnsi="宋体" w:hint="eastAsia"/>
                <w:sz w:val="21"/>
                <w:szCs w:val="21"/>
              </w:rPr>
              <w:t>弊</w:t>
            </w:r>
            <w:proofErr w:type="gramEnd"/>
            <w:r>
              <w:rPr>
                <w:rStyle w:val="font71"/>
                <w:rFonts w:ascii="宋体" w:eastAsia="宋体" w:hAnsi="宋体" w:hint="eastAsia"/>
                <w:sz w:val="21"/>
                <w:szCs w:val="21"/>
              </w:rPr>
              <w:t>大于利”的首届大学生</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辩论赛，武汉大学辩论队与浙江大学辩论队进行了精彩论辩。</w:t>
            </w:r>
            <w:r>
              <w:rPr>
                <w:rStyle w:val="font71"/>
                <w:rFonts w:ascii="宋体" w:eastAsia="宋体" w:hAnsi="宋体" w:hint="eastAsia"/>
                <w:sz w:val="21"/>
                <w:szCs w:val="21"/>
              </w:rPr>
              <w:br/>
              <w:t>二、取得效益</w:t>
            </w:r>
            <w:r>
              <w:rPr>
                <w:rStyle w:val="font71"/>
                <w:rFonts w:ascii="宋体" w:eastAsia="宋体" w:hAnsi="宋体" w:hint="eastAsia"/>
                <w:sz w:val="21"/>
                <w:szCs w:val="21"/>
              </w:rPr>
              <w:br/>
              <w:t>1.社会效益：①博物馆藏</w:t>
            </w:r>
            <w:proofErr w:type="gramStart"/>
            <w:r>
              <w:rPr>
                <w:rStyle w:val="font71"/>
                <w:rFonts w:ascii="宋体" w:eastAsia="宋体" w:hAnsi="宋体" w:hint="eastAsia"/>
                <w:sz w:val="21"/>
                <w:szCs w:val="21"/>
              </w:rPr>
              <w:t>品资源</w:t>
            </w:r>
            <w:proofErr w:type="gramEnd"/>
            <w:r>
              <w:rPr>
                <w:rStyle w:val="font71"/>
                <w:rFonts w:ascii="宋体" w:eastAsia="宋体" w:hAnsi="宋体" w:hint="eastAsia"/>
                <w:sz w:val="21"/>
                <w:szCs w:val="21"/>
              </w:rPr>
              <w:t>进一步丰富，新增藏品1805件，藏品总数近6100件。顺利实施547个</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展柜设计布展工作，成为兼容性博物馆又一创新和亮点。②图书馆系统化管理更上新台阶，新增外文棋类书籍864册，馆藏书籍近2万册。馆藏古籍已在逐本修复，为</w:t>
            </w:r>
            <w:proofErr w:type="gramStart"/>
            <w:r>
              <w:rPr>
                <w:rStyle w:val="font71"/>
                <w:rFonts w:ascii="宋体" w:eastAsia="宋体" w:hAnsi="宋体" w:hint="eastAsia"/>
                <w:sz w:val="21"/>
                <w:szCs w:val="21"/>
              </w:rPr>
              <w:t>棋文化</w:t>
            </w:r>
            <w:proofErr w:type="gramEnd"/>
            <w:r>
              <w:rPr>
                <w:rStyle w:val="font71"/>
                <w:rFonts w:ascii="宋体" w:eastAsia="宋体" w:hAnsi="宋体" w:hint="eastAsia"/>
                <w:sz w:val="21"/>
                <w:szCs w:val="21"/>
              </w:rPr>
              <w:t>全书编撰提供服务。③参观接待热情服务，全年接待各界领导、嘉宾、兄弟单位参观考察90批次，学生全年刷卡近5000次。④继首批7本《围棋文献集成》的出版后，今年又出版了第8-15册《围棋文献集成》。此外还出版了第一批8册《围棋丛书》和3册《围棋研究文库》。第三批《围棋文献集成》、第二批《围棋丛书》、第4-5本《围棋研究文库》均已启动点校招标或选题招标活动。④在前期研究的基础上，得出了现下关于学棋年龄、围棋定段重要性、少年冠军、</w:t>
            </w:r>
            <w:proofErr w:type="gramStart"/>
            <w:r>
              <w:rPr>
                <w:rStyle w:val="font71"/>
                <w:rFonts w:ascii="宋体" w:eastAsia="宋体" w:hAnsi="宋体" w:hint="eastAsia"/>
                <w:sz w:val="21"/>
                <w:szCs w:val="21"/>
              </w:rPr>
              <w:t>围甲一线</w:t>
            </w:r>
            <w:proofErr w:type="gramEnd"/>
            <w:r>
              <w:rPr>
                <w:rStyle w:val="font71"/>
                <w:rFonts w:ascii="宋体" w:eastAsia="宋体" w:hAnsi="宋体" w:hint="eastAsia"/>
                <w:sz w:val="21"/>
                <w:szCs w:val="21"/>
              </w:rPr>
              <w:t>棋手、定</w:t>
            </w:r>
            <w:proofErr w:type="gramStart"/>
            <w:r>
              <w:rPr>
                <w:rStyle w:val="font71"/>
                <w:rFonts w:ascii="宋体" w:eastAsia="宋体" w:hAnsi="宋体" w:hint="eastAsia"/>
                <w:sz w:val="21"/>
                <w:szCs w:val="21"/>
              </w:rPr>
              <w:t>段年龄</w:t>
            </w:r>
            <w:proofErr w:type="gramEnd"/>
            <w:r>
              <w:rPr>
                <w:rStyle w:val="font71"/>
                <w:rFonts w:ascii="宋体" w:eastAsia="宋体" w:hAnsi="宋体" w:hint="eastAsia"/>
                <w:sz w:val="21"/>
                <w:szCs w:val="21"/>
              </w:rPr>
              <w:t>等一系列重要启示，把握了当前职业棋手成才的关键时间节点，为今后的分项研究奠定了理论基础。</w:t>
            </w:r>
            <w:r>
              <w:rPr>
                <w:rStyle w:val="font71"/>
                <w:rFonts w:ascii="宋体" w:eastAsia="宋体" w:hAnsi="宋体" w:hint="eastAsia"/>
                <w:sz w:val="21"/>
                <w:szCs w:val="21"/>
              </w:rPr>
              <w:br/>
              <w:t>2.经济效益：2017年度，上交财政专户税后房租收入1466万元，各类比赛培训活动746.56万元。</w:t>
            </w:r>
            <w:r>
              <w:rPr>
                <w:rStyle w:val="font71"/>
                <w:rFonts w:ascii="宋体" w:eastAsia="宋体" w:hAnsi="宋体" w:hint="eastAsia"/>
                <w:sz w:val="21"/>
                <w:szCs w:val="21"/>
              </w:rPr>
              <w:br/>
              <w:t>三、存在问题：1.需继续加大“一体两翼”的工作力度。2.严格执行分院已出台的各项规章制度。</w:t>
            </w:r>
            <w:r>
              <w:rPr>
                <w:rStyle w:val="font71"/>
                <w:rFonts w:ascii="宋体" w:eastAsia="宋体" w:hAnsi="宋体" w:hint="eastAsia"/>
                <w:sz w:val="21"/>
                <w:szCs w:val="21"/>
              </w:rPr>
              <w:br/>
              <w:t>四、下步打算：1.亚运会筹备工作有序推进；2.努力实现专业队各项目标任务；3.以围棋冲段为抓手，打好人才培养的硬基础；4.</w:t>
            </w:r>
            <w:proofErr w:type="gramStart"/>
            <w:r>
              <w:rPr>
                <w:rStyle w:val="font71"/>
                <w:rFonts w:ascii="宋体" w:eastAsia="宋体" w:hAnsi="宋体" w:hint="eastAsia"/>
                <w:sz w:val="21"/>
                <w:szCs w:val="21"/>
              </w:rPr>
              <w:t>利用好弈战</w:t>
            </w:r>
            <w:proofErr w:type="gramEnd"/>
            <w:r>
              <w:rPr>
                <w:rStyle w:val="font71"/>
                <w:rFonts w:ascii="宋体" w:eastAsia="宋体" w:hAnsi="宋体" w:hint="eastAsia"/>
                <w:sz w:val="21"/>
                <w:szCs w:val="21"/>
              </w:rPr>
              <w:t>平台统筹规划各项赛事；5.办好棋博会、峰会，推广杭州棋文化；6.丰富馆藏内涵，提升大楼品质；7.推出象棋文献，打开全书出版新领域；8.布局天才儿童发现计划；9.完善共建学校考核推动第二课堂；10.党总支监察室工会为事业发展保驾护航。</w:t>
            </w:r>
            <w:r>
              <w:rPr>
                <w:rStyle w:val="font71"/>
                <w:rFonts w:ascii="宋体" w:eastAsia="宋体" w:hAnsi="宋体" w:hint="eastAsia"/>
                <w:sz w:val="21"/>
                <w:szCs w:val="21"/>
              </w:rPr>
              <w:br/>
            </w:r>
          </w:p>
        </w:tc>
      </w:tr>
      <w:tr w:rsidR="007B4265" w:rsidTr="006D259D">
        <w:trPr>
          <w:trHeight w:val="2060"/>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spacing w:line="500" w:lineRule="exact"/>
              <w:jc w:val="center"/>
              <w:rPr>
                <w:rFonts w:ascii="楷体_GB2312" w:eastAsia="楷体_GB2312" w:hAnsi="楷体"/>
                <w:b/>
                <w:bCs/>
                <w:sz w:val="32"/>
                <w:szCs w:val="32"/>
              </w:rPr>
            </w:pPr>
            <w:r>
              <w:rPr>
                <w:rFonts w:ascii="楷体_GB2312" w:eastAsia="楷体_GB2312" w:hAnsi="楷体" w:hint="eastAsia"/>
                <w:b/>
                <w:bCs/>
                <w:sz w:val="32"/>
                <w:szCs w:val="32"/>
              </w:rPr>
              <w:lastRenderedPageBreak/>
              <w:t>相关资质认可或执业许可证明文件及有 效 期</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无</w:t>
            </w:r>
          </w:p>
        </w:tc>
      </w:tr>
      <w:tr w:rsidR="007B4265" w:rsidTr="006D259D">
        <w:trPr>
          <w:trHeight w:val="1427"/>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adjustRightInd w:val="0"/>
              <w:snapToGrid w:val="0"/>
              <w:spacing w:line="360" w:lineRule="auto"/>
              <w:jc w:val="left"/>
              <w:rPr>
                <w:rFonts w:ascii="楷体_GB2312" w:eastAsia="楷体_GB2312" w:hAnsi="楷体"/>
                <w:b/>
                <w:bCs/>
                <w:sz w:val="32"/>
                <w:szCs w:val="32"/>
              </w:rPr>
            </w:pPr>
            <w:r>
              <w:rPr>
                <w:rFonts w:ascii="楷体_GB2312" w:eastAsia="楷体_GB2312" w:hAnsi="楷体" w:hint="eastAsia"/>
                <w:b/>
                <w:bCs/>
                <w:sz w:val="32"/>
                <w:szCs w:val="32"/>
              </w:rPr>
              <w:t xml:space="preserve">绩 效 </w:t>
            </w:r>
            <w:proofErr w:type="gramStart"/>
            <w:r>
              <w:rPr>
                <w:rFonts w:ascii="楷体_GB2312" w:eastAsia="楷体_GB2312" w:hAnsi="楷体" w:hint="eastAsia"/>
                <w:b/>
                <w:bCs/>
                <w:sz w:val="32"/>
                <w:szCs w:val="32"/>
              </w:rPr>
              <w:t>和</w:t>
            </w:r>
            <w:proofErr w:type="gramEnd"/>
          </w:p>
          <w:p w:rsidR="007B4265" w:rsidRDefault="00DF4B1B">
            <w:pPr>
              <w:adjustRightInd w:val="0"/>
              <w:snapToGrid w:val="0"/>
              <w:spacing w:line="360" w:lineRule="auto"/>
              <w:jc w:val="center"/>
              <w:rPr>
                <w:rFonts w:ascii="楷体_GB2312" w:eastAsia="楷体_GB2312" w:hAnsi="楷体"/>
                <w:b/>
                <w:bCs/>
                <w:sz w:val="32"/>
                <w:szCs w:val="32"/>
              </w:rPr>
            </w:pPr>
            <w:r>
              <w:rPr>
                <w:rFonts w:ascii="楷体_GB2312" w:eastAsia="楷体_GB2312" w:hAnsi="楷体" w:hint="eastAsia"/>
                <w:b/>
                <w:bCs/>
                <w:sz w:val="32"/>
                <w:szCs w:val="32"/>
              </w:rPr>
              <w:t>受奖惩及诉讼投诉</w:t>
            </w:r>
          </w:p>
          <w:p w:rsidR="007B4265" w:rsidRDefault="00DF4B1B" w:rsidP="0015436B">
            <w:pPr>
              <w:adjustRightInd w:val="0"/>
              <w:snapToGrid w:val="0"/>
              <w:spacing w:line="360" w:lineRule="auto"/>
              <w:ind w:firstLineChars="100" w:firstLine="321"/>
              <w:rPr>
                <w:rFonts w:ascii="楷体_GB2312" w:eastAsia="楷体_GB2312" w:hAnsi="楷体"/>
                <w:b/>
                <w:bCs/>
                <w:sz w:val="32"/>
                <w:szCs w:val="32"/>
              </w:rPr>
            </w:pPr>
            <w:r>
              <w:rPr>
                <w:rFonts w:ascii="楷体_GB2312" w:eastAsia="楷体_GB2312" w:hAnsi="楷体" w:hint="eastAsia"/>
                <w:b/>
                <w:bCs/>
                <w:sz w:val="32"/>
                <w:szCs w:val="32"/>
              </w:rPr>
              <w:t>情况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r w:rsidR="007B4265" w:rsidTr="006D259D">
        <w:trPr>
          <w:trHeight w:val="3208"/>
        </w:trPr>
        <w:tc>
          <w:tcPr>
            <w:tcW w:w="1701" w:type="dxa"/>
            <w:tcBorders>
              <w:top w:val="single" w:sz="4" w:space="0" w:color="auto"/>
              <w:left w:val="single" w:sz="12" w:space="0" w:color="auto"/>
              <w:bottom w:val="single" w:sz="8" w:space="0" w:color="auto"/>
              <w:right w:val="single" w:sz="4" w:space="0" w:color="auto"/>
            </w:tcBorders>
            <w:vAlign w:val="center"/>
          </w:tcPr>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接受</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捐赠</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资助</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及其</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使用</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情况</w:t>
            </w:r>
          </w:p>
        </w:tc>
        <w:tc>
          <w:tcPr>
            <w:tcW w:w="8312" w:type="dxa"/>
            <w:gridSpan w:val="4"/>
            <w:tcBorders>
              <w:top w:val="single" w:sz="4" w:space="0" w:color="auto"/>
              <w:left w:val="single" w:sz="4" w:space="0" w:color="auto"/>
              <w:bottom w:val="single" w:sz="8"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bl>
    <w:p w:rsidR="007B4265" w:rsidRDefault="007B4265">
      <w:pPr>
        <w:rPr>
          <w:rFonts w:ascii="楷体_GB2312" w:eastAsia="楷体_GB2312"/>
          <w:sz w:val="24"/>
        </w:rPr>
      </w:pPr>
    </w:p>
    <w:sectPr w:rsidR="007B4265" w:rsidSect="007B4265">
      <w:headerReference w:type="even" r:id="rId12"/>
      <w:headerReference w:type="default" r:id="rId13"/>
      <w:footerReference w:type="default" r:id="rId14"/>
      <w:headerReference w:type="first" r:id="rId15"/>
      <w:type w:val="continuous"/>
      <w:pgSz w:w="11906" w:h="16838"/>
      <w:pgMar w:top="1440" w:right="849"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7F" w:rsidRDefault="00C0137F">
      <w:r>
        <w:separator/>
      </w:r>
    </w:p>
  </w:endnote>
  <w:endnote w:type="continuationSeparator" w:id="0">
    <w:p w:rsidR="00C0137F" w:rsidRDefault="00C01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6D" w:rsidRDefault="000737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93.5pt;margin-top:627.7pt;width:102.15pt;height:27.8pt;z-index:-251659776;mso-position-horizontal-relative:margin;mso-position-vertical-relative:margin" o:allowincell="f">
          <v:imagedata r:id="rId1" o:title="水印——审核通过"/>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6D" w:rsidRDefault="0007376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7B42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7F" w:rsidRDefault="00C0137F">
      <w:r>
        <w:separator/>
      </w:r>
    </w:p>
  </w:footnote>
  <w:footnote w:type="continuationSeparator" w:id="0">
    <w:p w:rsidR="00C0137F" w:rsidRDefault="00C01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8" o:spid="_x0000_s2063" type="#_x0000_t75" style="position:absolute;left:0;text-align:left;margin-left:0;margin-top:0;width:189.75pt;height:195pt;z-index:-251657728;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5" o:spid="_x0000_s2050" type="#_x0000_t75" style="position:absolute;left:0;text-align:left;margin-left:0;margin-top:0;width:489.75pt;height:454.75pt;z-index:-251662848;mso-position-horizontal:center;mso-position-horizontal-relative:margin;mso-position-vertical:center;mso-position-vertical-relative:margin" o:allowincell="f">
          <v:imagedata r:id="rId2" o:title="倾斜的水印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rsidP="0011144C">
    <w:pPr>
      <w:pStyle w:val="a3"/>
      <w:pBdr>
        <w:bottom w:val="none" w:sz="0" w:space="0" w:color="auto"/>
      </w:pBd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354pt;margin-top:26.2pt;width:136.5pt;height:37.15pt;z-index:-251653632;mso-position-horizontal-relative:margin;mso-position-vertical-relative:margin" o:allowincell="f">
          <v:imagedata r:id="rId1" o:title="水印——审核通过"/>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7" o:spid="_x0000_s2062" type="#_x0000_t75" style="position:absolute;left:0;text-align:left;margin-left:0;margin-top:0;width:189.75pt;height:195pt;z-index:-251658752;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4" o:spid="_x0000_s2049" type="#_x0000_t75" style="position:absolute;left:0;text-align:left;margin-left:0;margin-top:0;width:489.75pt;height:454.75pt;z-index:-251663872;mso-position-horizontal:center;mso-position-horizontal-relative:margin;mso-position-vertical:center;mso-position-vertical-relative:margin" o:allowincell="f">
          <v:imagedata r:id="rId2" o:title="倾斜的水印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1" o:spid="_x0000_s2066" type="#_x0000_t75" style="position:absolute;left:0;text-align:left;margin-left:0;margin-top:0;width:189.75pt;height:195pt;z-index:-251655680;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8" o:spid="_x0000_s2053" type="#_x0000_t75" style="position:absolute;left:0;text-align:left;margin-left:0;margin-top:0;width:489.75pt;height:454.75pt;z-index:-251660800;mso-position-horizontal:center;mso-position-horizontal-relative:margin;mso-position-vertical:center;mso-position-vertical-relative:margin" o:allowincell="f">
          <v:imagedata r:id="rId2" o:title="倾斜的水印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2" o:spid="_x0000_s2067" type="#_x0000_t75" style="position:absolute;left:0;text-align:left;margin-left:0;margin-top:0;width:134.55pt;height:138.3pt;z-index:-251654656;mso-position-horizontal:center;mso-position-horizontal-relative:margin;mso-position-vertical:center;mso-position-vertical-relative:margin" o:allowincell="f">
          <v:imagedata r:id="rId1" o:title="倾斜的水印2"/>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8648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0" o:spid="_x0000_s2065" type="#_x0000_t75" style="position:absolute;left:0;text-align:left;margin-left:0;margin-top:0;width:189.75pt;height:195pt;z-index:-251656704;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7" o:spid="_x0000_s2052" type="#_x0000_t75" style="position:absolute;left:0;text-align:left;margin-left:0;margin-top:0;width:489.75pt;height:454.75pt;z-index:-251661824;mso-position-horizontal:center;mso-position-horizontal-relative:margin;mso-position-vertical:center;mso-position-vertical-relative:margin" o:allowincell="f">
          <v:imagedata r:id="rId2" o:title="倾斜的水印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265"/>
    <w:rsid w:val="00006C5F"/>
    <w:rsid w:val="00051DF6"/>
    <w:rsid w:val="0007376D"/>
    <w:rsid w:val="00074889"/>
    <w:rsid w:val="00095E7A"/>
    <w:rsid w:val="0011144C"/>
    <w:rsid w:val="0015436B"/>
    <w:rsid w:val="00252B82"/>
    <w:rsid w:val="00256D7E"/>
    <w:rsid w:val="002C5B96"/>
    <w:rsid w:val="002D2609"/>
    <w:rsid w:val="002F1F6F"/>
    <w:rsid w:val="00380CF5"/>
    <w:rsid w:val="00401152"/>
    <w:rsid w:val="00451706"/>
    <w:rsid w:val="004F6DBA"/>
    <w:rsid w:val="00510E46"/>
    <w:rsid w:val="00525D2C"/>
    <w:rsid w:val="0061486C"/>
    <w:rsid w:val="00653E0E"/>
    <w:rsid w:val="006C1892"/>
    <w:rsid w:val="006C3A6B"/>
    <w:rsid w:val="006D259D"/>
    <w:rsid w:val="006E2E8E"/>
    <w:rsid w:val="007A55F3"/>
    <w:rsid w:val="007B4265"/>
    <w:rsid w:val="007D4E06"/>
    <w:rsid w:val="007E713B"/>
    <w:rsid w:val="007F39D8"/>
    <w:rsid w:val="00864822"/>
    <w:rsid w:val="008F26D2"/>
    <w:rsid w:val="0096790E"/>
    <w:rsid w:val="009F07F5"/>
    <w:rsid w:val="00A93BED"/>
    <w:rsid w:val="00B4271F"/>
    <w:rsid w:val="00BA7D6C"/>
    <w:rsid w:val="00C0137F"/>
    <w:rsid w:val="00C34793"/>
    <w:rsid w:val="00C84BFF"/>
    <w:rsid w:val="00C96E4C"/>
    <w:rsid w:val="00CD2570"/>
    <w:rsid w:val="00CF7ADB"/>
    <w:rsid w:val="00D758F0"/>
    <w:rsid w:val="00DA2BD2"/>
    <w:rsid w:val="00DF4B1B"/>
    <w:rsid w:val="00E03ADF"/>
    <w:rsid w:val="00E46B22"/>
    <w:rsid w:val="00EE33A2"/>
    <w:rsid w:val="00F00323"/>
    <w:rsid w:val="00FB23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E11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11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E1190"/>
    <w:rPr>
      <w:rFonts w:ascii="Times New Roman" w:hAnsi="Times New Roman"/>
      <w:kern w:val="2"/>
      <w:sz w:val="18"/>
      <w:szCs w:val="18"/>
    </w:rPr>
  </w:style>
  <w:style w:type="paragraph" w:styleId="a4">
    <w:name w:val="footer"/>
    <w:basedOn w:val="a"/>
    <w:link w:val="Char0"/>
    <w:rsid w:val="00AE1190"/>
    <w:pPr>
      <w:tabs>
        <w:tab w:val="center" w:pos="4153"/>
        <w:tab w:val="right" w:pos="8306"/>
      </w:tabs>
      <w:snapToGrid w:val="0"/>
      <w:jc w:val="left"/>
    </w:pPr>
    <w:rPr>
      <w:sz w:val="18"/>
      <w:szCs w:val="18"/>
    </w:rPr>
  </w:style>
  <w:style w:type="character" w:customStyle="1" w:styleId="Char0">
    <w:name w:val="页脚 Char"/>
    <w:link w:val="a4"/>
    <w:rsid w:val="00AE1190"/>
    <w:rPr>
      <w:rFonts w:ascii="Times New Roman" w:hAnsi="Times New Roman"/>
      <w:kern w:val="2"/>
      <w:sz w:val="18"/>
      <w:szCs w:val="18"/>
    </w:rPr>
  </w:style>
  <w:style w:type="character" w:customStyle="1" w:styleId="font21">
    <w:name w:val="font21"/>
    <w:rsid w:val="00AE1190"/>
    <w:rPr>
      <w:rFonts w:ascii="Times New Roman" w:eastAsia="楷体_GB2312" w:hAnsi="Times New Roman" w:cs="Times New Roman" w:hint="default"/>
      <w:sz w:val="30"/>
      <w:szCs w:val="24"/>
    </w:rPr>
  </w:style>
  <w:style w:type="character" w:customStyle="1" w:styleId="font71">
    <w:name w:val="font71"/>
    <w:rsid w:val="00AE1190"/>
    <w:rPr>
      <w:rFonts w:ascii="Times New Roman" w:eastAsia="楷体_GB2312" w:hAnsi="Times New Roman" w:cs="Times New Roman" w:hint="default"/>
      <w:sz w:val="28"/>
      <w:szCs w:val="24"/>
    </w:rPr>
  </w:style>
  <w:style w:type="character" w:customStyle="1" w:styleId="font61">
    <w:name w:val="font61"/>
    <w:rsid w:val="00AE1190"/>
    <w:rPr>
      <w:rFonts w:ascii="Times New Roman" w:eastAsia="楷体_GB2312" w:hAnsi="Times New Roman" w:cs="Times New Roman" w:hint="default"/>
      <w:sz w:val="32"/>
      <w:szCs w:val="24"/>
    </w:rPr>
  </w:style>
  <w:style w:type="table" w:styleId="a5">
    <w:name w:val="Table Grid"/>
    <w:basedOn w:val="a1"/>
    <w:rsid w:val="00AE11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dc:title>
  <dc:subject/>
  <dc:creator>conac10</dc:creator>
  <cp:keywords/>
  <dc:description/>
  <cp:lastModifiedBy>微软用户</cp:lastModifiedBy>
  <cp:revision>6</cp:revision>
  <cp:lastPrinted>2014-01-15T01:26:00Z</cp:lastPrinted>
  <dcterms:created xsi:type="dcterms:W3CDTF">2018-04-09T01:18:00Z</dcterms:created>
  <dcterms:modified xsi:type="dcterms:W3CDTF">2018-04-11T02:06:00Z</dcterms:modified>
</cp:coreProperties>
</file>